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1F1F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D2665" w:rsidTr="008D2665">
        <w:tc>
          <w:tcPr>
            <w:tcW w:w="2590" w:type="dxa"/>
            <w:vMerge w:val="restart"/>
            <w:vAlign w:val="center"/>
          </w:tcPr>
          <w:p w:rsidR="008D2665" w:rsidRDefault="008D2665" w:rsidP="008D2665">
            <w:pPr>
              <w:jc w:val="center"/>
            </w:pPr>
            <w:r>
              <w:t>CDR-sb Score</w:t>
            </w:r>
          </w:p>
        </w:tc>
        <w:tc>
          <w:tcPr>
            <w:tcW w:w="10360" w:type="dxa"/>
            <w:gridSpan w:val="4"/>
            <w:tcBorders>
              <w:top w:val="nil"/>
              <w:right w:val="nil"/>
            </w:tcBorders>
            <w:vAlign w:val="bottom"/>
          </w:tcPr>
          <w:p w:rsidR="008D2665" w:rsidRDefault="008D2665" w:rsidP="008D2665">
            <w:pPr>
              <w:jc w:val="center"/>
            </w:pPr>
          </w:p>
        </w:tc>
      </w:tr>
      <w:tr w:rsidR="008D2665" w:rsidTr="008D2665">
        <w:tc>
          <w:tcPr>
            <w:tcW w:w="2590" w:type="dxa"/>
            <w:vMerge/>
          </w:tcPr>
          <w:p w:rsidR="008D2665" w:rsidRDefault="008D2665" w:rsidP="00C57AFD"/>
        </w:tc>
        <w:tc>
          <w:tcPr>
            <w:tcW w:w="10360" w:type="dxa"/>
            <w:gridSpan w:val="4"/>
            <w:vAlign w:val="center"/>
          </w:tcPr>
          <w:p w:rsidR="008D2665" w:rsidRDefault="008D2665" w:rsidP="008D2665">
            <w:pPr>
              <w:jc w:val="center"/>
            </w:pPr>
            <w:r>
              <w:t>Neuropsychological Diagnosis (NPDx)</w:t>
            </w:r>
          </w:p>
        </w:tc>
      </w:tr>
      <w:tr w:rsidR="008D2665" w:rsidTr="008D2665">
        <w:tc>
          <w:tcPr>
            <w:tcW w:w="2590" w:type="dxa"/>
            <w:vMerge/>
          </w:tcPr>
          <w:p w:rsidR="008D2665" w:rsidRDefault="008D2665"/>
        </w:tc>
        <w:tc>
          <w:tcPr>
            <w:tcW w:w="2590" w:type="dxa"/>
            <w:vAlign w:val="center"/>
          </w:tcPr>
          <w:p w:rsidR="008D2665" w:rsidRDefault="008D2665" w:rsidP="008D2665">
            <w:pPr>
              <w:jc w:val="center"/>
            </w:pPr>
            <w:r>
              <w:t>Normal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pPr>
              <w:jc w:val="center"/>
            </w:pPr>
            <w:r>
              <w:t>aMCI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pPr>
              <w:jc w:val="center"/>
            </w:pPr>
            <w:r>
              <w:t>naMCI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pPr>
              <w:jc w:val="center"/>
            </w:pPr>
            <w:r>
              <w:t>Dementia</w:t>
            </w:r>
          </w:p>
        </w:tc>
      </w:tr>
      <w:tr w:rsidR="008D2665" w:rsidTr="008D2665">
        <w:tc>
          <w:tcPr>
            <w:tcW w:w="2590" w:type="dxa"/>
            <w:vAlign w:val="center"/>
          </w:tcPr>
          <w:p w:rsidR="008D2665" w:rsidRDefault="008D2665" w:rsidP="008D2665">
            <w:pPr>
              <w:jc w:val="center"/>
            </w:pPr>
            <w:r>
              <w:t>0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Normal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PreMCI-NP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PreMCI-NP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Consensus</w:t>
            </w:r>
          </w:p>
          <w:p w:rsidR="008D2665" w:rsidRDefault="008D2665" w:rsidP="008D2665">
            <w:r>
              <w:t>Conference</w:t>
            </w:r>
          </w:p>
        </w:tc>
      </w:tr>
      <w:tr w:rsidR="008D2665" w:rsidTr="008D2665">
        <w:tc>
          <w:tcPr>
            <w:tcW w:w="2590" w:type="dxa"/>
            <w:vAlign w:val="center"/>
          </w:tcPr>
          <w:p w:rsidR="008D2665" w:rsidRDefault="008D2665" w:rsidP="008D2665">
            <w:pPr>
              <w:jc w:val="center"/>
            </w:pPr>
            <w:r>
              <w:t>0.5 - 2.0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Pre-MCI Clinical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eMCI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eMCI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Consensus</w:t>
            </w:r>
          </w:p>
          <w:p w:rsidR="008D2665" w:rsidRDefault="008D2665" w:rsidP="008D2665">
            <w:r>
              <w:t>Conference</w:t>
            </w:r>
          </w:p>
        </w:tc>
      </w:tr>
      <w:tr w:rsidR="008D2665" w:rsidTr="008D2665">
        <w:tc>
          <w:tcPr>
            <w:tcW w:w="2590" w:type="dxa"/>
            <w:vAlign w:val="center"/>
          </w:tcPr>
          <w:p w:rsidR="008D2665" w:rsidRDefault="008D2665" w:rsidP="008D2665">
            <w:pPr>
              <w:jc w:val="center"/>
            </w:pPr>
            <w:r>
              <w:t>2.5 – 4.0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PreMCI Clinical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LMCI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LMCI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LMCI</w:t>
            </w:r>
          </w:p>
        </w:tc>
      </w:tr>
      <w:tr w:rsidR="008D2665" w:rsidTr="008D2665">
        <w:tc>
          <w:tcPr>
            <w:tcW w:w="2590" w:type="dxa"/>
            <w:vAlign w:val="center"/>
          </w:tcPr>
          <w:p w:rsidR="008D2665" w:rsidRDefault="008D2665" w:rsidP="008D2665">
            <w:pPr>
              <w:jc w:val="center"/>
            </w:pPr>
            <w:r>
              <w:t>4.5 +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Consensus</w:t>
            </w:r>
          </w:p>
          <w:p w:rsidR="008D2665" w:rsidRDefault="008D2665" w:rsidP="008D2665">
            <w:r>
              <w:t>Conference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Dementia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Dementia</w:t>
            </w:r>
          </w:p>
        </w:tc>
        <w:tc>
          <w:tcPr>
            <w:tcW w:w="2590" w:type="dxa"/>
            <w:vAlign w:val="center"/>
          </w:tcPr>
          <w:p w:rsidR="008D2665" w:rsidRDefault="008D2665" w:rsidP="008D2665">
            <w:r>
              <w:t>Dementia</w:t>
            </w:r>
          </w:p>
        </w:tc>
      </w:tr>
    </w:tbl>
    <w:p w:rsidR="0088415F" w:rsidRDefault="005D0D43" w:rsidP="005D0D43">
      <w:pPr>
        <w:ind w:left="720"/>
      </w:pPr>
      <w:r>
        <w:br/>
        <w:t>CDR-sb = CDR-Sum of Boxes; aMCI=Amnestic MCI; naMCI = Non-amnestic MCI; LMCI = Late MCI</w:t>
      </w:r>
    </w:p>
    <w:p w:rsidR="005D0D43" w:rsidRDefault="005D0D43" w:rsidP="005D0D43">
      <w:pPr>
        <w:ind w:left="720"/>
      </w:pPr>
      <w:r>
        <w:t>[Rule 1: CDR-sb score &gt;4.0 indicates dementia diagnosis (except when NPDx is Normal)]</w:t>
      </w:r>
    </w:p>
    <w:p w:rsidR="005D0D43" w:rsidRDefault="005D0D43" w:rsidP="005D0D43">
      <w:pPr>
        <w:ind w:left="720"/>
      </w:pPr>
      <w:r>
        <w:t>[Rule 2: CDR-sb score of 2.5 to 4.0 indicates an LMCI diagnosis (except when NPDx is normal)]</w:t>
      </w:r>
    </w:p>
    <w:p w:rsidR="005D0D43" w:rsidRDefault="005D0D43" w:rsidP="005D0D43">
      <w:pPr>
        <w:ind w:left="720"/>
      </w:pPr>
      <w:r>
        <w:t>[Rule 3: CDR-sb score of 0.5 to 2.0 indicates an eMCI diagnosis (except when NPDx is Normal or Dementia)]</w:t>
      </w:r>
    </w:p>
    <w:p w:rsidR="005D0D43" w:rsidRDefault="005D0D43" w:rsidP="005D0D43">
      <w:pPr>
        <w:ind w:left="720"/>
      </w:pPr>
      <w:r>
        <w:t>[Rule 4: PreMCI is diagnosed when CDR-sb = 0.5 - 4.</w:t>
      </w:r>
      <w:bookmarkStart w:id="0" w:name="_GoBack"/>
      <w:bookmarkEnd w:id="0"/>
      <w:r>
        <w:t>0 and NpDx is Normal, or CDR-sb = 0 and NPDx = aMCI or naMCI]</w:t>
      </w:r>
    </w:p>
    <w:sectPr w:rsidR="005D0D43" w:rsidSect="008D2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791" w:rsidRDefault="007C7791" w:rsidP="00134047">
      <w:r>
        <w:separator/>
      </w:r>
    </w:p>
  </w:endnote>
  <w:endnote w:type="continuationSeparator" w:id="0">
    <w:p w:rsidR="007C7791" w:rsidRDefault="007C7791" w:rsidP="0013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047" w:rsidRDefault="001340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047" w:rsidRDefault="001340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047" w:rsidRDefault="00134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791" w:rsidRDefault="007C7791" w:rsidP="00134047">
      <w:r>
        <w:separator/>
      </w:r>
    </w:p>
  </w:footnote>
  <w:footnote w:type="continuationSeparator" w:id="0">
    <w:p w:rsidR="007C7791" w:rsidRDefault="007C7791" w:rsidP="00134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047" w:rsidRDefault="00134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047" w:rsidRDefault="001340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047" w:rsidRDefault="00134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65"/>
    <w:rsid w:val="00134047"/>
    <w:rsid w:val="005D0D43"/>
    <w:rsid w:val="00757880"/>
    <w:rsid w:val="007C7791"/>
    <w:rsid w:val="008D2665"/>
    <w:rsid w:val="00AD6699"/>
    <w:rsid w:val="00BD325E"/>
    <w:rsid w:val="00F4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93BAA"/>
  <w15:chartTrackingRefBased/>
  <w15:docId w15:val="{0D529E72-F857-A044-BE92-C5A99040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047"/>
  </w:style>
  <w:style w:type="paragraph" w:styleId="Footer">
    <w:name w:val="footer"/>
    <w:basedOn w:val="Normal"/>
    <w:link w:val="FooterChar"/>
    <w:uiPriority w:val="99"/>
    <w:unhideWhenUsed/>
    <w:rsid w:val="0013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638</Characters>
  <Application>Microsoft Office Word</Application>
  <DocSecurity>0</DocSecurity>
  <Lines>38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Buchholz</dc:creator>
  <cp:keywords/>
  <dc:description/>
  <cp:lastModifiedBy>Michael Buchholz</cp:lastModifiedBy>
  <cp:revision>3</cp:revision>
  <dcterms:created xsi:type="dcterms:W3CDTF">2018-03-21T18:28:00Z</dcterms:created>
  <dcterms:modified xsi:type="dcterms:W3CDTF">2018-03-22T12:23:00Z</dcterms:modified>
</cp:coreProperties>
</file>