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20" w:rsidRPr="00A75CAE" w:rsidRDefault="00576420">
      <w:pPr>
        <w:rPr>
          <w:b/>
        </w:rPr>
      </w:pPr>
      <w:proofErr w:type="gramStart"/>
      <w:r w:rsidRPr="00A75CAE">
        <w:rPr>
          <w:b/>
        </w:rPr>
        <w:t>3 Tier Architecture:</w:t>
      </w:r>
      <w:proofErr w:type="gramEnd"/>
    </w:p>
    <w:p w:rsidR="007237A6" w:rsidRDefault="00576420">
      <w:r>
        <w:t xml:space="preserve">The three-tier architecture </w:t>
      </w:r>
      <w:r w:rsidR="00A75CAE">
        <w:t xml:space="preserve">is an architecture that organizes an application into three </w:t>
      </w:r>
      <w:proofErr w:type="gramStart"/>
      <w:r w:rsidR="00A75CAE">
        <w:t>layers  such</w:t>
      </w:r>
      <w:proofErr w:type="gramEnd"/>
      <w:r w:rsidR="00A75CAE">
        <w:t xml:space="preserve"> as client, application and data end. The main advantage of this scenario is scalability, reliability and security.</w:t>
      </w:r>
    </w:p>
    <w:p w:rsidR="00A75CAE" w:rsidRDefault="00A75CAE">
      <w:r>
        <w:t xml:space="preserve">Here, I’m considering the application as </w:t>
      </w:r>
      <w:proofErr w:type="spellStart"/>
      <w:r>
        <w:t>TeamCity</w:t>
      </w:r>
      <w:proofErr w:type="spellEnd"/>
      <w:r>
        <w:t xml:space="preserve"> (A </w:t>
      </w:r>
      <w:proofErr w:type="spellStart"/>
      <w:r>
        <w:t>DevOps</w:t>
      </w:r>
      <w:proofErr w:type="spellEnd"/>
      <w:r>
        <w:t xml:space="preserve">, CI tool) and describing the entire structure. </w:t>
      </w:r>
      <w:proofErr w:type="spellStart"/>
      <w:r>
        <w:t>TeamCity</w:t>
      </w:r>
      <w:proofErr w:type="spellEnd"/>
      <w:r>
        <w:t xml:space="preserve"> now supports High Availability concept in later versions, however when we are setting up (earlier in 2019’s) </w:t>
      </w:r>
      <w:proofErr w:type="spellStart"/>
      <w:r>
        <w:t>TeamCity</w:t>
      </w:r>
      <w:proofErr w:type="spellEnd"/>
      <w:r>
        <w:t xml:space="preserve"> doesn’t support High Availability, so we transformed into Active/Passive mode with a dedicated database.</w:t>
      </w:r>
    </w:p>
    <w:p w:rsidR="00A75CAE" w:rsidRPr="00A75CAE" w:rsidRDefault="00A75CAE">
      <w:pPr>
        <w:rPr>
          <w:b/>
        </w:rPr>
      </w:pPr>
      <w:r w:rsidRPr="00A75CAE">
        <w:rPr>
          <w:b/>
        </w:rPr>
        <w:t>Architecture:</w:t>
      </w:r>
    </w:p>
    <w:p w:rsidR="00A75CAE" w:rsidRDefault="001016B6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8" type="#_x0000_t132" style="position:absolute;margin-left:206.25pt;margin-top:19.1pt;width:28.5pt;height:25.5pt;z-index:251660288"/>
        </w:pict>
      </w:r>
      <w:r w:rsidR="00936508">
        <w:t xml:space="preserve">                                                                                Database</w:t>
      </w:r>
    </w:p>
    <w:p w:rsidR="00A75CAE" w:rsidRDefault="001016B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157.5pt;margin-top:4.85pt;width:42pt;height:0;z-index:25167872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157.5pt;margin-top:4.85pt;width:0;height:37.55pt;z-index:251677696" o:connectortype="straight"/>
        </w:pict>
      </w:r>
      <w:r w:rsidR="00A75CAE">
        <w:t xml:space="preserve">                                                    </w:t>
      </w:r>
      <w:r w:rsidR="00936508">
        <w:t xml:space="preserve">                        </w:t>
      </w:r>
      <w:r w:rsidR="00A75CAE">
        <w:t xml:space="preserve">                  </w:t>
      </w:r>
    </w:p>
    <w:p w:rsidR="00A75CAE" w:rsidRDefault="001016B6">
      <w:r>
        <w:rPr>
          <w:noProof/>
        </w:rPr>
        <w:pict>
          <v:rect id="_x0000_s1035" style="position:absolute;margin-left:361.5pt;margin-top:19.2pt;width:34.5pt;height:9pt;z-index:251666432"/>
        </w:pict>
      </w:r>
      <w:r>
        <w:rPr>
          <w:noProof/>
        </w:rPr>
        <w:pict>
          <v:rect id="_x0000_s1033" style="position:absolute;margin-left:206.25pt;margin-top:19.2pt;width:34.5pt;height:9pt;z-index:251664384"/>
        </w:pict>
      </w:r>
      <w:r>
        <w:rPr>
          <w:noProof/>
        </w:rPr>
        <w:pict>
          <v:rect id="_x0000_s1029" style="position:absolute;margin-left:74.25pt;margin-top:19.2pt;width:34.5pt;height:9pt;z-index:251661312"/>
        </w:pict>
      </w:r>
    </w:p>
    <w:p w:rsidR="00A75CAE" w:rsidRDefault="001016B6">
      <w:r>
        <w:rPr>
          <w:noProof/>
        </w:rPr>
        <w:pict>
          <v:shape id="_x0000_s1048" type="#_x0000_t32" style="position:absolute;margin-left:418.5pt;margin-top:17.7pt;width:0;height:37.55pt;z-index:251674624" o:connectortype="straight"/>
        </w:pict>
      </w:r>
      <w:r>
        <w:rPr>
          <w:noProof/>
        </w:rPr>
        <w:pict>
          <v:shape id="_x0000_s1051" type="#_x0000_t32" style="position:absolute;margin-left:168pt;margin-top:22.25pt;width:0;height:33pt;flip:y;z-index:25167667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330.8pt;margin-top:14.75pt;width:0;height:65.2pt;flip:y;z-index:25167257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147pt;margin-top:22.25pt;width:0;height:57.75pt;flip:y;z-index:251670528" o:connectortype="straight">
            <v:stroke endarrow="block"/>
          </v:shape>
        </w:pict>
      </w:r>
      <w:r>
        <w:rPr>
          <w:noProof/>
        </w:rPr>
        <w:pict>
          <v:rect id="_x0000_s1036" style="position:absolute;margin-left:361.5pt;margin-top:7.25pt;width:34.5pt;height:9pt;z-index:251667456"/>
        </w:pict>
      </w:r>
      <w:r>
        <w:rPr>
          <w:noProof/>
        </w:rPr>
        <w:pict>
          <v:rect id="_x0000_s1034" style="position:absolute;margin-left:206.25pt;margin-top:5.75pt;width:34.5pt;height:9pt;z-index:251665408"/>
        </w:pict>
      </w:r>
      <w:r>
        <w:rPr>
          <w:noProof/>
        </w:rPr>
        <w:pict>
          <v:rect id="_x0000_s1031" style="position:absolute;margin-left:74.25pt;margin-top:7.25pt;width:34.5pt;height:9pt;z-index:251663360"/>
        </w:pict>
      </w:r>
      <w:r>
        <w:rPr>
          <w:noProof/>
        </w:rPr>
        <w:pict>
          <v:shape id="_x0000_s1026" type="#_x0000_t32" style="position:absolute;margin-left:37.5pt;margin-top:7.25pt;width:29.25pt;height:0;z-index:251658240" o:connectortype="straight">
            <v:stroke endarrow="block"/>
          </v:shape>
        </w:pict>
      </w:r>
      <w:r w:rsidR="00A75CAE">
        <w:t xml:space="preserve">Client                               </w:t>
      </w:r>
      <w:r w:rsidR="00936508">
        <w:t xml:space="preserve">      (Master Server)                          (Secondary Server)          </w:t>
      </w:r>
      <w:r w:rsidR="00A75CAE">
        <w:t xml:space="preserve"> </w:t>
      </w:r>
      <w:r w:rsidR="00936508">
        <w:t xml:space="preserve">                (Build Farms)</w:t>
      </w:r>
    </w:p>
    <w:p w:rsidR="00936508" w:rsidRDefault="00936508" w:rsidP="00936508">
      <w:r>
        <w:t xml:space="preserve"> </w:t>
      </w:r>
      <w:r w:rsidR="00BF3C60">
        <w:t>(User Requests)</w:t>
      </w:r>
      <w:r>
        <w:t xml:space="preserve">                          Active Server                             Passive Server                                     Agents</w:t>
      </w:r>
    </w:p>
    <w:p w:rsidR="00576420" w:rsidRDefault="001016B6">
      <w:r>
        <w:rPr>
          <w:noProof/>
        </w:rPr>
        <w:pict>
          <v:shape id="_x0000_s1049" type="#_x0000_t32" style="position:absolute;margin-left:168pt;margin-top:4.35pt;width:250.5pt;height:0;flip:x;z-index:251675648" o:connectortype="straight"/>
        </w:pict>
      </w:r>
      <w:r>
        <w:rPr>
          <w:noProof/>
        </w:rPr>
        <w:pict>
          <v:shape id="_x0000_s1047" type="#_x0000_t32" style="position:absolute;margin-left:277.5pt;margin-top:29.05pt;width:53.25pt;height:.05pt;flip:x;z-index:25167360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147pt;margin-top:29.1pt;width:43.4pt;height:0;z-index:251671552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90.4pt;margin-top:13.3pt;width:87.35pt;height:35.45pt;z-index:251669504;mso-width-relative:margin;mso-height-relative:margin">
            <v:textbox>
              <w:txbxContent>
                <w:p w:rsidR="000B2373" w:rsidRDefault="000B2373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0B2373">
                    <w:rPr>
                      <w:rFonts w:ascii="Segoe UI" w:hAnsi="Segoe UI" w:cs="Segoe UI"/>
                      <w:sz w:val="20"/>
                      <w:szCs w:val="20"/>
                    </w:rPr>
                    <w:t>Common shared directory</w:t>
                  </w:r>
                </w:p>
                <w:p w:rsidR="00BF3C60" w:rsidRDefault="00BF3C60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BF3C60" w:rsidRDefault="00BF3C60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BF3C60" w:rsidRDefault="00BF3C60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BF3C60" w:rsidRDefault="00BF3C60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BF3C60" w:rsidRPr="000B2373" w:rsidRDefault="00BF3C60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F3C6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1011">
        <w:t xml:space="preserve">                               </w:t>
      </w:r>
    </w:p>
    <w:p w:rsidR="00BF3C60" w:rsidRDefault="00BF3C60"/>
    <w:p w:rsidR="00A61011" w:rsidRDefault="00A61011"/>
    <w:p w:rsidR="00BF3C60" w:rsidRPr="00A61011" w:rsidRDefault="00BF3C60">
      <w:pPr>
        <w:rPr>
          <w:b/>
        </w:rPr>
      </w:pPr>
      <w:r w:rsidRPr="00A61011">
        <w:rPr>
          <w:b/>
        </w:rPr>
        <w:t>Prerequisites to start with this setup:</w:t>
      </w:r>
    </w:p>
    <w:p w:rsidR="00BF3C60" w:rsidRDefault="00BF3C60" w:rsidP="00BF3C60">
      <w:pPr>
        <w:pStyle w:val="ListParagraph"/>
        <w:numPr>
          <w:ilvl w:val="0"/>
          <w:numId w:val="1"/>
        </w:numPr>
      </w:pPr>
      <w:r>
        <w:t xml:space="preserve">A dedicated app server 1 (Windows server) where we would be installing the </w:t>
      </w:r>
      <w:proofErr w:type="spellStart"/>
      <w:r>
        <w:t>TeamCity</w:t>
      </w:r>
      <w:proofErr w:type="spellEnd"/>
      <w:r>
        <w:t xml:space="preserve"> </w:t>
      </w:r>
    </w:p>
    <w:p w:rsidR="00BF3C60" w:rsidRDefault="00BF3C60" w:rsidP="00BF3C60">
      <w:pPr>
        <w:pStyle w:val="ListParagraph"/>
        <w:numPr>
          <w:ilvl w:val="0"/>
          <w:numId w:val="1"/>
        </w:numPr>
      </w:pPr>
      <w:r>
        <w:t xml:space="preserve">A dedicated app server 2 (Windows server) where we would be installing the </w:t>
      </w:r>
      <w:proofErr w:type="spellStart"/>
      <w:r>
        <w:t>TeamCity</w:t>
      </w:r>
      <w:proofErr w:type="spellEnd"/>
    </w:p>
    <w:p w:rsidR="00BF3C60" w:rsidRDefault="00BF3C60" w:rsidP="00BF3C60">
      <w:pPr>
        <w:pStyle w:val="ListParagraph"/>
        <w:numPr>
          <w:ilvl w:val="0"/>
          <w:numId w:val="1"/>
        </w:numPr>
      </w:pPr>
      <w:r>
        <w:t>A dedicated DB server (Windows server) where we would be installing MS SQL</w:t>
      </w:r>
    </w:p>
    <w:p w:rsidR="00BF3C60" w:rsidRDefault="00A61011" w:rsidP="00BF3C60">
      <w:pPr>
        <w:pStyle w:val="ListParagraph"/>
        <w:numPr>
          <w:ilvl w:val="0"/>
          <w:numId w:val="1"/>
        </w:numPr>
      </w:pPr>
      <w:r>
        <w:t xml:space="preserve">Now, </w:t>
      </w:r>
      <w:proofErr w:type="spellStart"/>
      <w:r>
        <w:t>TeamCity</w:t>
      </w:r>
      <w:proofErr w:type="spellEnd"/>
      <w:r>
        <w:t xml:space="preserve"> has been installed with the default port, as a major security best practice change the port number from default value to other value</w:t>
      </w:r>
    </w:p>
    <w:p w:rsidR="00A61011" w:rsidRDefault="00A61011" w:rsidP="00BF3C60">
      <w:pPr>
        <w:pStyle w:val="ListParagraph"/>
        <w:numPr>
          <w:ilvl w:val="0"/>
          <w:numId w:val="1"/>
        </w:numPr>
      </w:pPr>
      <w:r>
        <w:t xml:space="preserve">Since the connection is not secure enable the </w:t>
      </w:r>
      <w:proofErr w:type="spellStart"/>
      <w:r>
        <w:t>TeamCity</w:t>
      </w:r>
      <w:proofErr w:type="spellEnd"/>
      <w:r>
        <w:t xml:space="preserve"> to be accessible only with https</w:t>
      </w:r>
    </w:p>
    <w:p w:rsidR="00A61011" w:rsidRDefault="00A61011" w:rsidP="00BF3C60">
      <w:pPr>
        <w:pStyle w:val="ListParagraph"/>
        <w:numPr>
          <w:ilvl w:val="0"/>
          <w:numId w:val="1"/>
        </w:numPr>
      </w:pPr>
      <w:r>
        <w:t>Connect the app server 1 to DB server, so that the data will be stored in a database</w:t>
      </w:r>
    </w:p>
    <w:p w:rsidR="00A61011" w:rsidRDefault="00A61011" w:rsidP="00BF3C60">
      <w:pPr>
        <w:pStyle w:val="ListParagraph"/>
        <w:numPr>
          <w:ilvl w:val="0"/>
          <w:numId w:val="1"/>
        </w:numPr>
      </w:pPr>
      <w:r>
        <w:t xml:space="preserve">Whenever the load is high and the app server 1 crashes, immediately start the </w:t>
      </w:r>
      <w:proofErr w:type="spellStart"/>
      <w:r>
        <w:t>TeamCity</w:t>
      </w:r>
      <w:proofErr w:type="spellEnd"/>
      <w:r>
        <w:t xml:space="preserve"> service in app server 2 by connecting it to DB server as a database</w:t>
      </w:r>
    </w:p>
    <w:p w:rsidR="00A61011" w:rsidRDefault="00A61011" w:rsidP="00BF3C60">
      <w:pPr>
        <w:pStyle w:val="ListParagraph"/>
        <w:numPr>
          <w:ilvl w:val="0"/>
          <w:numId w:val="1"/>
        </w:numPr>
      </w:pPr>
      <w:r>
        <w:t xml:space="preserve">Since we have enabled the common shared directory between the two </w:t>
      </w:r>
      <w:proofErr w:type="spellStart"/>
      <w:r>
        <w:t>TeamCity</w:t>
      </w:r>
      <w:proofErr w:type="spellEnd"/>
      <w:r>
        <w:t xml:space="preserve"> instances, the data will be available though the app server1 crashes</w:t>
      </w:r>
    </w:p>
    <w:p w:rsidR="00A61011" w:rsidRDefault="00A61011" w:rsidP="00BF3C60">
      <w:pPr>
        <w:pStyle w:val="ListParagraph"/>
        <w:numPr>
          <w:ilvl w:val="0"/>
          <w:numId w:val="1"/>
        </w:numPr>
      </w:pPr>
      <w:r>
        <w:t xml:space="preserve">Since the </w:t>
      </w:r>
      <w:proofErr w:type="spellStart"/>
      <w:r>
        <w:t>TeamCity</w:t>
      </w:r>
      <w:proofErr w:type="spellEnd"/>
      <w:r>
        <w:t xml:space="preserve"> may be consumed by many project teams, it is advisable to own the build machines dedicatedly by app teams</w:t>
      </w:r>
    </w:p>
    <w:p w:rsidR="00A86E57" w:rsidRDefault="00A61011" w:rsidP="00F208D7">
      <w:pPr>
        <w:pStyle w:val="ListParagraph"/>
        <w:numPr>
          <w:ilvl w:val="0"/>
          <w:numId w:val="1"/>
        </w:numPr>
      </w:pPr>
      <w:r>
        <w:t xml:space="preserve">So, once the app team shares us the machines, we will install the build agent and registers with the </w:t>
      </w:r>
      <w:r w:rsidR="007237A6">
        <w:t>Master Server</w:t>
      </w:r>
      <w:r>
        <w:t xml:space="preserve"> </w:t>
      </w:r>
    </w:p>
    <w:sectPr w:rsidR="00A86E57" w:rsidSect="00D0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1CFC"/>
    <w:multiLevelType w:val="hybridMultilevel"/>
    <w:tmpl w:val="2472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420"/>
    <w:rsid w:val="000B2373"/>
    <w:rsid w:val="001016B6"/>
    <w:rsid w:val="001B0CD3"/>
    <w:rsid w:val="004E3496"/>
    <w:rsid w:val="00576420"/>
    <w:rsid w:val="006E6127"/>
    <w:rsid w:val="007237A6"/>
    <w:rsid w:val="00936508"/>
    <w:rsid w:val="00963205"/>
    <w:rsid w:val="009F14E1"/>
    <w:rsid w:val="00A61011"/>
    <w:rsid w:val="00A75CAE"/>
    <w:rsid w:val="00A86E57"/>
    <w:rsid w:val="00AB3A24"/>
    <w:rsid w:val="00BF3C60"/>
    <w:rsid w:val="00C070CF"/>
    <w:rsid w:val="00D06CC8"/>
    <w:rsid w:val="00D82FF5"/>
    <w:rsid w:val="00F2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26"/>
        <o:r id="V:Rule12" type="connector" idref="#_x0000_s1045"/>
        <o:r id="V:Rule13" type="connector" idref="#_x0000_s1046"/>
        <o:r id="V:Rule14" type="connector" idref="#_x0000_s1056"/>
        <o:r id="V:Rule15" type="connector" idref="#_x0000_s1047"/>
        <o:r id="V:Rule16" type="connector" idref="#_x0000_s1048"/>
        <o:r id="V:Rule17" type="connector" idref="#_x0000_s1049"/>
        <o:r id="V:Rule18" type="connector" idref="#_x0000_s1044"/>
        <o:r id="V:Rule19" type="connector" idref="#_x0000_s1051"/>
        <o:r id="V:Rule20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E5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12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E6127"/>
  </w:style>
  <w:style w:type="character" w:customStyle="1" w:styleId="pln">
    <w:name w:val="pln"/>
    <w:basedOn w:val="DefaultParagraphFont"/>
    <w:rsid w:val="006E6127"/>
  </w:style>
  <w:style w:type="character" w:customStyle="1" w:styleId="pun">
    <w:name w:val="pun"/>
    <w:basedOn w:val="DefaultParagraphFont"/>
    <w:rsid w:val="006E6127"/>
  </w:style>
  <w:style w:type="character" w:customStyle="1" w:styleId="str">
    <w:name w:val="str"/>
    <w:basedOn w:val="DefaultParagraphFont"/>
    <w:rsid w:val="006E6127"/>
  </w:style>
  <w:style w:type="character" w:customStyle="1" w:styleId="lit">
    <w:name w:val="lit"/>
    <w:basedOn w:val="DefaultParagraphFont"/>
    <w:rsid w:val="006E61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2021-12-08T11:56:00Z</dcterms:created>
  <dcterms:modified xsi:type="dcterms:W3CDTF">2021-12-15T06:16:00Z</dcterms:modified>
</cp:coreProperties>
</file>