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PORTADA</w:t>
      </w:r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59937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9F3" w:rsidRDefault="002A69F3">
          <w:pPr>
            <w:pStyle w:val="TtuloTDC"/>
          </w:pPr>
          <w:r>
            <w:t>Contenido</w:t>
          </w:r>
        </w:p>
        <w:p w:rsidR="001B76C3" w:rsidRDefault="002A69F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6480" w:history="1">
            <w:r w:rsidR="001B76C3" w:rsidRPr="002F341E">
              <w:rPr>
                <w:rStyle w:val="Hipervnculo"/>
                <w:noProof/>
              </w:rPr>
              <w:t>Índice de figuras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3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1" w:history="1">
            <w:r w:rsidR="001B76C3" w:rsidRPr="002F341E">
              <w:rPr>
                <w:rStyle w:val="Hipervnculo"/>
                <w:noProof/>
              </w:rPr>
              <w:t>Objeto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2" w:history="1">
            <w:r w:rsidR="001B76C3" w:rsidRPr="002F341E">
              <w:rPr>
                <w:rStyle w:val="Hipervnculo"/>
                <w:noProof/>
              </w:rPr>
              <w:t>Alcance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3" w:history="1">
            <w:r w:rsidR="001B76C3" w:rsidRPr="002F341E">
              <w:rPr>
                <w:rStyle w:val="Hipervnculo"/>
                <w:noProof/>
              </w:rPr>
              <w:t>Siglas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4" w:history="1">
            <w:r w:rsidR="001B76C3" w:rsidRPr="002F341E">
              <w:rPr>
                <w:rStyle w:val="Hipervnculo"/>
                <w:noProof/>
              </w:rPr>
              <w:t>Documentos de referencia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5" w:history="1">
            <w:r w:rsidR="001B76C3" w:rsidRPr="002F341E">
              <w:rPr>
                <w:rStyle w:val="Hipervnculo"/>
                <w:noProof/>
              </w:rPr>
              <w:t>Diseño de la arquitectura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6" w:history="1">
            <w:r w:rsidR="001B76C3" w:rsidRPr="002F341E">
              <w:rPr>
                <w:rStyle w:val="Hipervnculo"/>
                <w:noProof/>
              </w:rPr>
              <w:t>Arquitectura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7" w:history="1">
            <w:r w:rsidR="001B76C3" w:rsidRPr="002F341E">
              <w:rPr>
                <w:rStyle w:val="Hipervnculo"/>
                <w:noProof/>
              </w:rPr>
              <w:t>Directorios utilizados por la aplicación y ficheros de log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8" w:history="1">
            <w:r w:rsidR="001B76C3" w:rsidRPr="002F341E">
              <w:rPr>
                <w:rStyle w:val="Hipervnculo"/>
                <w:noProof/>
              </w:rPr>
              <w:t>Diseño de componentes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9" w:history="1">
            <w:r w:rsidR="001B76C3" w:rsidRPr="002F341E">
              <w:rPr>
                <w:rStyle w:val="Hipervnculo"/>
                <w:noProof/>
              </w:rPr>
              <w:t>Consideraciones previas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0" w:history="1">
            <w:r w:rsidR="001B76C3" w:rsidRPr="002F341E">
              <w:rPr>
                <w:rStyle w:val="Hipervnculo"/>
                <w:noProof/>
              </w:rPr>
              <w:t>Definición de plataformas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1" w:history="1">
            <w:r w:rsidR="001B76C3" w:rsidRPr="002F341E">
              <w:rPr>
                <w:rStyle w:val="Hipervnculo"/>
                <w:noProof/>
              </w:rPr>
              <w:t>Definición de servicios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2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3" w:history="1">
            <w:r w:rsidR="001B76C3" w:rsidRPr="002F341E">
              <w:rPr>
                <w:rStyle w:val="Hipervnculo"/>
                <w:noProof/>
              </w:rPr>
              <w:t>Arquitectura del componente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4" w:history="1">
            <w:r w:rsidR="001B76C3" w:rsidRPr="002F341E">
              <w:rPr>
                <w:rStyle w:val="Hipervnculo"/>
                <w:noProof/>
              </w:rPr>
              <w:t>Componente clave-status-app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5" w:history="1">
            <w:r w:rsidR="001B76C3" w:rsidRPr="002F341E">
              <w:rPr>
                <w:rStyle w:val="Hipervnculo"/>
                <w:noProof/>
              </w:rPr>
              <w:t>Operativa del agente de monitorización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6" w:history="1">
            <w:r w:rsidR="001B76C3" w:rsidRPr="002F341E">
              <w:rPr>
                <w:rStyle w:val="Hipervnculo"/>
                <w:noProof/>
              </w:rPr>
              <w:t>Parametrización peticiones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7" w:history="1">
            <w:r w:rsidR="001B76C3" w:rsidRPr="002F341E">
              <w:rPr>
                <w:rStyle w:val="Hipervnculo"/>
                <w:noProof/>
              </w:rPr>
              <w:t>Componente clave-web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98" w:history="1">
            <w:r w:rsidR="001B76C3" w:rsidRPr="002F341E">
              <w:rPr>
                <w:rStyle w:val="Hipervnculo"/>
                <w:noProof/>
              </w:rPr>
              <w:t>Base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9" w:history="1">
            <w:r w:rsidR="001B76C3" w:rsidRPr="002F341E">
              <w:rPr>
                <w:rStyle w:val="Hipervnculo"/>
                <w:noProof/>
              </w:rPr>
              <w:t>Esquema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0" w:history="1">
            <w:r w:rsidR="001B76C3" w:rsidRPr="002F341E">
              <w:rPr>
                <w:rStyle w:val="Hipervnculo"/>
                <w:noProof/>
              </w:rPr>
              <w:t>Tablas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1" w:history="1">
            <w:r w:rsidR="001B76C3" w:rsidRPr="002F341E">
              <w:rPr>
                <w:rStyle w:val="Hipervnculo"/>
                <w:noProof/>
              </w:rPr>
              <w:t>Secuencias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2" w:history="1">
            <w:r w:rsidR="001B76C3" w:rsidRPr="002F341E">
              <w:rPr>
                <w:rStyle w:val="Hipervnculo"/>
                <w:noProof/>
              </w:rPr>
              <w:t>Carga inicial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503" w:history="1">
            <w:r w:rsidR="001B76C3" w:rsidRPr="002F341E">
              <w:rPr>
                <w:rStyle w:val="Hipervnculo"/>
                <w:noProof/>
              </w:rPr>
              <w:t>Parámetros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4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302C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5" w:history="1">
            <w:r w:rsidR="001B76C3" w:rsidRPr="002F341E">
              <w:rPr>
                <w:rStyle w:val="Hipervnculo"/>
                <w:noProof/>
              </w:rPr>
              <w:t>SAMLEngine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2A69F3" w:rsidRDefault="002A69F3">
          <w:r>
            <w:rPr>
              <w:b/>
              <w:bCs/>
            </w:rPr>
            <w:fldChar w:fldCharType="end"/>
          </w:r>
        </w:p>
      </w:sdtContent>
    </w:sdt>
    <w:p w:rsidR="002A69F3" w:rsidRDefault="002A69F3">
      <w:p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 w:type="page"/>
      </w:r>
    </w:p>
    <w:p w:rsidR="002A69F3" w:rsidRPr="002A69F3" w:rsidRDefault="002A69F3" w:rsidP="002A69F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530486480"/>
      <w:r>
        <w:rPr>
          <w:sz w:val="28"/>
          <w:szCs w:val="28"/>
        </w:rPr>
        <w:lastRenderedPageBreak/>
        <w:t>Índice de figuras</w:t>
      </w:r>
      <w:bookmarkEnd w:id="0"/>
    </w:p>
    <w:p w:rsidR="00706D4D" w:rsidRDefault="002A69F3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30554633" w:history="1">
        <w:r w:rsidR="00706D4D" w:rsidRPr="0095162F">
          <w:rPr>
            <w:rStyle w:val="Hipervnculo"/>
            <w:noProof/>
          </w:rPr>
          <w:t>Ilustración 1 Diseño de la arquitectura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_Toc530554633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5</w:t>
        </w:r>
        <w:r w:rsidR="00706D4D">
          <w:rPr>
            <w:noProof/>
            <w:webHidden/>
          </w:rPr>
          <w:fldChar w:fldCharType="end"/>
        </w:r>
      </w:hyperlink>
    </w:p>
    <w:p w:rsidR="00706D4D" w:rsidRDefault="00302CB0">
      <w:pPr>
        <w:pStyle w:val="Tabladeilustraciones"/>
        <w:tabs>
          <w:tab w:val="right" w:leader="dot" w:pos="8494"/>
        </w:tabs>
        <w:rPr>
          <w:noProof/>
        </w:rPr>
      </w:pPr>
      <w:hyperlink w:anchor="_Toc530554634" w:history="1">
        <w:r w:rsidR="00706D4D" w:rsidRPr="0095162F">
          <w:rPr>
            <w:rStyle w:val="Hipervnculo"/>
            <w:noProof/>
          </w:rPr>
          <w:t>Ilustración 2 Diagrama de componentes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_Toc530554634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6</w:t>
        </w:r>
        <w:r w:rsidR="00706D4D">
          <w:rPr>
            <w:noProof/>
            <w:webHidden/>
          </w:rPr>
          <w:fldChar w:fldCharType="end"/>
        </w:r>
      </w:hyperlink>
    </w:p>
    <w:p w:rsidR="00706D4D" w:rsidRDefault="00302CB0">
      <w:pPr>
        <w:pStyle w:val="Tabladeilustraciones"/>
        <w:tabs>
          <w:tab w:val="right" w:leader="dot" w:pos="8494"/>
        </w:tabs>
        <w:rPr>
          <w:noProof/>
        </w:rPr>
      </w:pPr>
      <w:hyperlink w:anchor="_Toc530554635" w:history="1">
        <w:r w:rsidR="00706D4D" w:rsidRPr="0095162F">
          <w:rPr>
            <w:rStyle w:val="Hipervnculo"/>
            <w:noProof/>
          </w:rPr>
          <w:t>Ilustración 3 Diagrama de componente Monitoriza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_Toc530554635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7</w:t>
        </w:r>
        <w:r w:rsidR="00706D4D">
          <w:rPr>
            <w:noProof/>
            <w:webHidden/>
          </w:rPr>
          <w:fldChar w:fldCharType="end"/>
        </w:r>
      </w:hyperlink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1F4D33" w:rsidRDefault="00990FB1" w:rsidP="00A730B6">
      <w:pPr>
        <w:pStyle w:val="Ttulo1"/>
      </w:pPr>
      <w:bookmarkStart w:id="1" w:name="_Toc530486481"/>
      <w:r>
        <w:lastRenderedPageBreak/>
        <w:t>Objeto</w:t>
      </w:r>
      <w:bookmarkEnd w:id="1"/>
    </w:p>
    <w:p w:rsidR="00A730B6" w:rsidRDefault="00960B02" w:rsidP="00960B02">
      <w:pPr>
        <w:jc w:val="both"/>
      </w:pPr>
      <w:r>
        <w:t>El objeto del presente documento es detallar el diseño técnico del nuevo módulo de monitorización, basado en la solución base de Monitoriz@, mediante la que se producirán agentes de monitorización de las plataformas de eIDAS y @Firma.</w:t>
      </w:r>
    </w:p>
    <w:p w:rsidR="00A730B6" w:rsidRDefault="00990FB1" w:rsidP="00990FB1">
      <w:pPr>
        <w:pStyle w:val="Ttulo1"/>
      </w:pPr>
      <w:bookmarkStart w:id="2" w:name="_Toc530486482"/>
      <w:r>
        <w:t>Alcance</w:t>
      </w:r>
      <w:bookmarkEnd w:id="2"/>
    </w:p>
    <w:p w:rsidR="005B0229" w:rsidRPr="00B01079" w:rsidRDefault="005B0229" w:rsidP="005B0229">
      <w:r w:rsidRPr="00B01079">
        <w:t>Los objetivos que cubre este documento son los siguientes: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La arquitectura del sistema.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Información de compilación y despliegue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y parametrización de los principales módulos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del modelo de datos.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Parametrización y configuración del sistema.</w:t>
      </w:r>
    </w:p>
    <w:p w:rsidR="005B0229" w:rsidRPr="00B01079" w:rsidRDefault="005B0229" w:rsidP="005B0229">
      <w:pPr>
        <w:pStyle w:val="Prrafodelista"/>
        <w:numPr>
          <w:ilvl w:val="0"/>
          <w:numId w:val="6"/>
        </w:numPr>
        <w:spacing w:before="120" w:after="120" w:line="360" w:lineRule="auto"/>
        <w:jc w:val="both"/>
      </w:pPr>
      <w:r w:rsidRPr="00990FB1">
        <w:t>Interacción con otros sistemas de información.</w:t>
      </w:r>
    </w:p>
    <w:p w:rsidR="00990FB1" w:rsidRDefault="00990FB1" w:rsidP="00990FB1">
      <w:pPr>
        <w:pStyle w:val="Ttulo1"/>
      </w:pPr>
      <w:bookmarkStart w:id="3" w:name="_Toc530486483"/>
      <w:r>
        <w:t>Siglas</w:t>
      </w:r>
      <w:bookmarkEnd w:id="3"/>
    </w:p>
    <w:p w:rsidR="005B0229" w:rsidRPr="00B01079" w:rsidRDefault="005B0229" w:rsidP="005B0229">
      <w:pPr>
        <w:rPr>
          <w:rFonts w:cstheme="minorHAnsi"/>
        </w:rPr>
      </w:pPr>
      <w:r w:rsidRPr="00B01079">
        <w:rPr>
          <w:rFonts w:cstheme="minorHAnsi"/>
        </w:rPr>
        <w:t>HTTP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r w:rsidRPr="00B01079">
        <w:rPr>
          <w:rFonts w:cstheme="minorHAnsi"/>
          <w:color w:val="222222"/>
          <w:shd w:val="clear" w:color="auto" w:fill="FFFFFF"/>
        </w:rPr>
        <w:t>Hypertext Transfer Protocol</w:t>
      </w:r>
    </w:p>
    <w:p w:rsidR="005B0229" w:rsidRPr="00B01079" w:rsidRDefault="005B0229" w:rsidP="005B0229">
      <w:pPr>
        <w:rPr>
          <w:rFonts w:cstheme="minorHAnsi"/>
          <w:color w:val="222222"/>
          <w:shd w:val="clear" w:color="auto" w:fill="FFFFFF"/>
        </w:rPr>
      </w:pPr>
      <w:r w:rsidRPr="00B01079">
        <w:rPr>
          <w:rFonts w:cstheme="minorHAnsi"/>
        </w:rPr>
        <w:t>HTTPS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r w:rsidRPr="00B01079">
        <w:rPr>
          <w:rFonts w:cstheme="minorHAnsi"/>
          <w:color w:val="222222"/>
          <w:shd w:val="clear" w:color="auto" w:fill="FFFFFF"/>
        </w:rPr>
        <w:t>Hypertext Transfer Protocol Secure</w:t>
      </w:r>
    </w:p>
    <w:p w:rsidR="005B0229" w:rsidRPr="00523B37" w:rsidRDefault="005B0229" w:rsidP="005B0229">
      <w:pPr>
        <w:rPr>
          <w:rFonts w:cstheme="minorHAnsi"/>
          <w:color w:val="222222"/>
          <w:shd w:val="clear" w:color="auto" w:fill="FFFFFF"/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URL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Uniform Resource Locator</w:t>
      </w:r>
    </w:p>
    <w:p w:rsidR="005B0229" w:rsidRDefault="005B0229" w:rsidP="005B0229">
      <w:pPr>
        <w:rPr>
          <w:rFonts w:cstheme="minorHAnsi"/>
          <w:color w:val="222222"/>
          <w:shd w:val="clear" w:color="auto" w:fill="FFFFFF"/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SAML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Security Assertion Markup Language</w:t>
      </w:r>
    </w:p>
    <w:p w:rsidR="00D301E3" w:rsidRPr="00523B37" w:rsidRDefault="00D301E3" w:rsidP="005B0229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MVC</w:t>
      </w:r>
      <w:r>
        <w:rPr>
          <w:rFonts w:cstheme="minorHAnsi"/>
          <w:color w:val="222222"/>
          <w:shd w:val="clear" w:color="auto" w:fill="FFFFFF"/>
          <w:lang w:val="en-US"/>
        </w:rPr>
        <w:tab/>
      </w:r>
      <w:r>
        <w:rPr>
          <w:rFonts w:cstheme="minorHAnsi"/>
          <w:color w:val="222222"/>
          <w:shd w:val="clear" w:color="auto" w:fill="FFFFFF"/>
          <w:lang w:val="en-US"/>
        </w:rPr>
        <w:tab/>
      </w:r>
      <w:r w:rsidRPr="005B0229">
        <w:t>Modelo-Vista-Controlador</w:t>
      </w:r>
    </w:p>
    <w:p w:rsidR="00990FB1" w:rsidRDefault="00990FB1" w:rsidP="00990FB1">
      <w:pPr>
        <w:pStyle w:val="Ttulo1"/>
      </w:pPr>
      <w:bookmarkStart w:id="4" w:name="_Toc530486484"/>
      <w:r>
        <w:t>Documentos de referencia</w:t>
      </w:r>
      <w:bookmarkEnd w:id="4"/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5B0229" w:rsidRPr="00B01079" w:rsidTr="002A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>Id Documento</w:t>
            </w:r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Nombre Documento</w:t>
            </w:r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Descripción</w:t>
            </w:r>
          </w:p>
        </w:tc>
      </w:tr>
      <w:tr w:rsidR="005B0229" w:rsidRPr="00B01079" w:rsidTr="002A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5B0229" w:rsidRPr="005B0229" w:rsidRDefault="005B0229" w:rsidP="005B0229"/>
    <w:p w:rsidR="00B833D7" w:rsidRDefault="00B833D7" w:rsidP="00A730B6">
      <w:pPr>
        <w:pStyle w:val="Ttulo1"/>
      </w:pPr>
      <w:bookmarkStart w:id="5" w:name="_Toc530486485"/>
      <w:r>
        <w:t>Diseño de la arquitectura</w:t>
      </w:r>
      <w:bookmarkEnd w:id="5"/>
    </w:p>
    <w:p w:rsidR="00F0224B" w:rsidRDefault="00F0224B" w:rsidP="00A730B6">
      <w:pPr>
        <w:pStyle w:val="Ttulo2"/>
      </w:pPr>
      <w:bookmarkStart w:id="6" w:name="_Toc530486486"/>
      <w:r>
        <w:t>Arquitectura del sistema</w:t>
      </w:r>
      <w:bookmarkEnd w:id="6"/>
    </w:p>
    <w:p w:rsidR="005B0229" w:rsidRPr="005B0229" w:rsidRDefault="005B0229" w:rsidP="005B0229">
      <w:pPr>
        <w:jc w:val="both"/>
      </w:pPr>
      <w:r w:rsidRPr="005B0229">
        <w:t xml:space="preserve">El Sistema es implementado como una aplicación Java para entornos Web, y cuya arquitectura es definida por el </w:t>
      </w:r>
      <w:r w:rsidRPr="005B0229">
        <w:rPr>
          <w:b/>
          <w:bCs/>
        </w:rPr>
        <w:t>patrón MVC</w:t>
      </w:r>
      <w:r w:rsidRPr="005B0229">
        <w:t xml:space="preserve">, apoyándose en el framework de desarrollo Spring, y principalmente en Spring MVC para la gestión de eventos y comunicaciones entre las distintas capas que conforman el Sistema. </w:t>
      </w:r>
    </w:p>
    <w:p w:rsidR="005B0229" w:rsidRDefault="005B0229" w:rsidP="005B0229">
      <w:pPr>
        <w:jc w:val="both"/>
      </w:pPr>
      <w:r w:rsidRPr="005B0229">
        <w:t>El siguiente diagrama presenta la pila tecnológica del Sistema.</w:t>
      </w:r>
    </w:p>
    <w:p w:rsidR="0006365F" w:rsidRDefault="0006365F" w:rsidP="005B0229">
      <w:pPr>
        <w:jc w:val="both"/>
      </w:pPr>
    </w:p>
    <w:p w:rsidR="00706D4D" w:rsidRDefault="00AA4056" w:rsidP="00706D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8D0F0A5" wp14:editId="169A443B">
            <wp:extent cx="5400040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D6" w:rsidRDefault="00706D4D" w:rsidP="00706D4D">
      <w:pPr>
        <w:pStyle w:val="Descripcin"/>
        <w:jc w:val="center"/>
        <w:rPr>
          <w:color w:val="FF0000"/>
        </w:rPr>
      </w:pPr>
      <w:bookmarkStart w:id="7" w:name="_Toc530554633"/>
      <w:r>
        <w:t xml:space="preserve">Ilustración </w:t>
      </w:r>
      <w:r w:rsidR="00BC23DC">
        <w:fldChar w:fldCharType="begin"/>
      </w:r>
      <w:r w:rsidR="00BC23DC">
        <w:instrText xml:space="preserve"> SEQ Ilustración \* ARABIC </w:instrText>
      </w:r>
      <w:r w:rsidR="00BC23DC">
        <w:fldChar w:fldCharType="separate"/>
      </w:r>
      <w:r>
        <w:rPr>
          <w:noProof/>
        </w:rPr>
        <w:t>1</w:t>
      </w:r>
      <w:r w:rsidR="00BC23DC">
        <w:rPr>
          <w:noProof/>
        </w:rPr>
        <w:fldChar w:fldCharType="end"/>
      </w:r>
      <w:r>
        <w:t xml:space="preserve"> Diseño de la arquitectura</w:t>
      </w:r>
      <w:bookmarkEnd w:id="7"/>
    </w:p>
    <w:p w:rsidR="001F43DD" w:rsidRDefault="001F43DD" w:rsidP="001F43DD">
      <w:pPr>
        <w:pStyle w:val="Prrafodelista"/>
        <w:numPr>
          <w:ilvl w:val="0"/>
          <w:numId w:val="6"/>
        </w:numPr>
      </w:pPr>
      <w:r w:rsidRPr="001F43DD">
        <w:rPr>
          <w:b/>
        </w:rPr>
        <w:t xml:space="preserve">Capa de presentación: </w:t>
      </w:r>
      <w:r>
        <w:t xml:space="preserve">La interfaz gráfica de usuario está desarrollada en HTML5, empleándose para ello el motor de plantillas </w:t>
      </w:r>
      <w:r w:rsidRPr="001F43DD">
        <w:rPr>
          <w:b/>
          <w:bCs/>
        </w:rPr>
        <w:t>Thymeleaf v3.0.9.RELEASE</w:t>
      </w:r>
      <w:r>
        <w:t>, y apoyándose adicionalmente los siguientes componentes: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r>
        <w:rPr>
          <w:b/>
          <w:bCs/>
        </w:rPr>
        <w:t>jQuery v3.2.1</w:t>
      </w:r>
      <w:r>
        <w:t>. Biblioteca JavaScript multiplataforma que permite simplificar la manera de interactuar con los documentos HTML, manipular el árbol DOM, manejar eventos y agregar interacción AJAX.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r>
        <w:rPr>
          <w:b/>
          <w:bCs/>
        </w:rPr>
        <w:t>Datatables v1.10.</w:t>
      </w:r>
      <w:r w:rsidRPr="001F43DD">
        <w:rPr>
          <w:b/>
          <w:bCs/>
        </w:rPr>
        <w:t>1</w:t>
      </w:r>
      <w:r>
        <w:rPr>
          <w:b/>
          <w:bCs/>
        </w:rPr>
        <w:t>6.</w:t>
      </w:r>
      <w:r w:rsidRPr="001F43DD">
        <w:rPr>
          <w:b/>
          <w:bCs/>
        </w:rPr>
        <w:t xml:space="preserve"> </w:t>
      </w:r>
      <w:r>
        <w:t>(http://datatables.net). Componente jQuery que facilita y amplía la agregación de controles y la interacción avanzada sobre tablas HTML.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r>
        <w:rPr>
          <w:b/>
          <w:bCs/>
        </w:rPr>
        <w:t>Bootstrap v4.0.0</w:t>
      </w:r>
      <w:r>
        <w:t>. Framework para el desarrollo y diseño de aplicaciones web con HTML, CSS y JavaScript.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Capa de control</w:t>
      </w:r>
      <w:r w:rsidRPr="00465C18">
        <w:t>. Esta capa se encarga de responder y validar las peticiones efectuadas por los usuarios finales desde la capa de presentación, para finalmente interactuar con el modelo y resolver la solicitud efectuada. La capa de control se apoya en los componentes</w:t>
      </w:r>
      <w:r>
        <w:t xml:space="preserve"> que aporta el framework Spring para el desarrollo web, empleándose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Web MVC v5.0.4</w:t>
      </w:r>
      <w:r w:rsidRPr="00465C18">
        <w:rPr>
          <w:b/>
          <w:bCs/>
        </w:rPr>
        <w:t>.RELEASE</w:t>
      </w:r>
      <w:r>
        <w:t>. Habilita la aplicación del patrón MVC en el Sistema, gestionando principalmente la comunicación entre la vista de presentación y la capa de control, y otras funcionalidades sobre la vista del Sistema, como por ejemplo, la funcionalidad de multidioma.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Security v5.0.3</w:t>
      </w:r>
      <w:r w:rsidRPr="00465C18">
        <w:rPr>
          <w:b/>
          <w:bCs/>
        </w:rPr>
        <w:t>.RELEASE</w:t>
      </w:r>
      <w:r>
        <w:t>. Incorpora mecanismos de seguridad, autenticación y autorización al Sistema.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 w:rsidRPr="00465C18">
        <w:rPr>
          <w:b/>
          <w:bCs/>
        </w:rPr>
        <w:t>Spring</w:t>
      </w:r>
      <w:r>
        <w:rPr>
          <w:b/>
          <w:bCs/>
        </w:rPr>
        <w:t xml:space="preserve"> Boot Framework v2.0.0</w:t>
      </w:r>
      <w:r w:rsidRPr="00465C18">
        <w:rPr>
          <w:b/>
          <w:bCs/>
        </w:rPr>
        <w:t>.RELEASE</w:t>
      </w:r>
      <w:r>
        <w:t>. Este componente actúa como framework base para el desarrollo del Sistema, facilitando la reutilización de componentes y el acceso a archivos de configuración, por ejemplo.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Modelo</w:t>
      </w:r>
      <w:r>
        <w:t>. Capa responsable de trabajar con los datos o información, ofreciendo al resto de capas la lógica necesarios para su consulta, actualización, inserción y borrado. La implementación de esta capa emplea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 w:rsidRPr="00465C18">
        <w:rPr>
          <w:b/>
          <w:bCs/>
        </w:rPr>
        <w:lastRenderedPageBreak/>
        <w:t>Hibernate v5.</w:t>
      </w:r>
      <w:r>
        <w:rPr>
          <w:b/>
          <w:bCs/>
        </w:rPr>
        <w:t>2</w:t>
      </w:r>
      <w:r w:rsidRPr="00465C18">
        <w:rPr>
          <w:b/>
          <w:bCs/>
        </w:rPr>
        <w:t>.</w:t>
      </w:r>
      <w:r>
        <w:rPr>
          <w:b/>
          <w:bCs/>
        </w:rPr>
        <w:t>1</w:t>
      </w:r>
      <w:r w:rsidRPr="00465C18">
        <w:rPr>
          <w:b/>
          <w:bCs/>
        </w:rPr>
        <w:t>3.Final</w:t>
      </w:r>
      <w:r>
        <w:t>. Componente utilizado para resolver el mapeo objeto-relacional (ORM) y el acceso al sistema de persistencia.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Servicios y lógica de negocio</w:t>
      </w:r>
      <w:r>
        <w:t xml:space="preserve">. Esta capa ofrece los gestores y fachadas necesarios para responder a las peticiones, realizadas desde la capa de control y servicios publicados, sobre el modelo del Sistema. Para ello se apoya en el componente </w:t>
      </w:r>
      <w:r w:rsidRPr="00465C18">
        <w:rPr>
          <w:b/>
          <w:bCs/>
        </w:rPr>
        <w:t>Spring</w:t>
      </w:r>
      <w:r>
        <w:rPr>
          <w:b/>
          <w:bCs/>
        </w:rPr>
        <w:t xml:space="preserve"> Boot Framework v2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 xml:space="preserve">.RELEASE. </w:t>
      </w:r>
    </w:p>
    <w:p w:rsidR="001108D6" w:rsidRPr="00465C18" w:rsidRDefault="00465C18" w:rsidP="00465C18">
      <w:r>
        <w:t xml:space="preserve">La integración con los servicios de @firma y cl@ve se realizan a través de </w:t>
      </w:r>
      <w:r w:rsidRPr="00465C18">
        <w:rPr>
          <w:b/>
        </w:rPr>
        <w:t>Integr@ v1.2.2.</w:t>
      </w:r>
      <w:r>
        <w:rPr>
          <w:b/>
        </w:rPr>
        <w:t xml:space="preserve"> </w:t>
      </w:r>
      <w:r>
        <w:t xml:space="preserve">y </w:t>
      </w:r>
      <w:r w:rsidRPr="00465C18">
        <w:rPr>
          <w:b/>
        </w:rPr>
        <w:t>HttpClient v4.5.6.</w:t>
      </w:r>
      <w:r>
        <w:t>.</w:t>
      </w:r>
    </w:p>
    <w:p w:rsidR="001F43DD" w:rsidRPr="001108D6" w:rsidRDefault="001F43DD" w:rsidP="001108D6">
      <w:pPr>
        <w:jc w:val="both"/>
        <w:rPr>
          <w:color w:val="FF0000"/>
        </w:rPr>
      </w:pPr>
    </w:p>
    <w:p w:rsidR="00F0224B" w:rsidRDefault="00990FB1" w:rsidP="00A730B6">
      <w:pPr>
        <w:pStyle w:val="Ttulo2"/>
      </w:pPr>
      <w:bookmarkStart w:id="8" w:name="_Toc530486487"/>
      <w:r>
        <w:t>Directorios utilizados por la aplicación y ficheros de log</w:t>
      </w:r>
      <w:bookmarkEnd w:id="8"/>
      <w:r>
        <w:t xml:space="preserve"> </w:t>
      </w:r>
    </w:p>
    <w:p w:rsidR="0006365F" w:rsidRDefault="0006365F" w:rsidP="0006365F">
      <w:pPr>
        <w:jc w:val="both"/>
      </w:pPr>
      <w:r w:rsidRPr="0006365F">
        <w:t>Los directorios empleados por el Sistema son los siguientes:</w:t>
      </w:r>
    </w:p>
    <w:p w:rsidR="0006365F" w:rsidRDefault="0006365F" w:rsidP="0006365F">
      <w:pPr>
        <w:pStyle w:val="Prrafodelista"/>
        <w:numPr>
          <w:ilvl w:val="0"/>
          <w:numId w:val="6"/>
        </w:numPr>
        <w:jc w:val="both"/>
      </w:pPr>
      <w:r w:rsidRPr="0006365F">
        <w:rPr>
          <w:b/>
          <w:bCs/>
        </w:rPr>
        <w:t>Publicación web</w:t>
      </w:r>
      <w:r>
        <w:t xml:space="preserve">: El contexto web que aloja al Sistema es </w:t>
      </w:r>
      <w:r w:rsidRPr="0006365F">
        <w:t>monitoriza-web</w:t>
      </w:r>
      <w:r>
        <w:t>. Desde este contexto es posible acceder a los servicios publicados y a la interfaz gráfica de usuario.</w:t>
      </w:r>
    </w:p>
    <w:p w:rsidR="0006365F" w:rsidRDefault="0006365F" w:rsidP="0006365F">
      <w:pPr>
        <w:pStyle w:val="Prrafodelista"/>
        <w:numPr>
          <w:ilvl w:val="0"/>
          <w:numId w:val="6"/>
        </w:numPr>
      </w:pPr>
      <w:r>
        <w:rPr>
          <w:b/>
          <w:bCs/>
        </w:rPr>
        <w:t>Sistema de archivos</w:t>
      </w:r>
      <w:r>
        <w:t xml:space="preserve">: </w:t>
      </w:r>
    </w:p>
    <w:p w:rsidR="000B4B1E" w:rsidRPr="000B4B1E" w:rsidRDefault="0006365F" w:rsidP="000B4B1E">
      <w:pPr>
        <w:pStyle w:val="Prrafodelista"/>
        <w:numPr>
          <w:ilvl w:val="1"/>
          <w:numId w:val="6"/>
        </w:numPr>
      </w:pPr>
      <w:r w:rsidRPr="000B4B1E">
        <w:rPr>
          <w:b/>
          <w:bCs/>
        </w:rPr>
        <w:t>Despliegue</w:t>
      </w:r>
      <w:r w:rsidRPr="0006365F">
        <w:t>:</w:t>
      </w:r>
      <w:r>
        <w:t xml:space="preserve"> </w:t>
      </w:r>
      <w:r w:rsidR="000B4B1E" w:rsidRPr="000B4B1E">
        <w:t xml:space="preserve">El binario del Sistema se corresponde con </w:t>
      </w:r>
      <w:r w:rsidR="000B4B1E">
        <w:t>dos</w:t>
      </w:r>
      <w:r w:rsidR="000B4B1E" w:rsidRPr="000B4B1E">
        <w:t xml:space="preserve"> archivo</w:t>
      </w:r>
      <w:r w:rsidR="000B4B1E">
        <w:t>s</w:t>
      </w:r>
      <w:r w:rsidR="000B4B1E" w:rsidRPr="000B4B1E">
        <w:t xml:space="preserve"> WAR, </w:t>
      </w:r>
      <w:r w:rsidR="000B4B1E">
        <w:t>los</w:t>
      </w:r>
      <w:r w:rsidR="000B4B1E" w:rsidRPr="000B4B1E">
        <w:t xml:space="preserve"> cual</w:t>
      </w:r>
      <w:r w:rsidR="000B4B1E">
        <w:t>es</w:t>
      </w:r>
      <w:r w:rsidR="000B4B1E" w:rsidRPr="000B4B1E">
        <w:t xml:space="preserve"> incluye</w:t>
      </w:r>
      <w:r w:rsidR="000B4B1E">
        <w:t>n</w:t>
      </w:r>
      <w:r w:rsidR="000B4B1E" w:rsidRPr="000B4B1E">
        <w:t xml:space="preserve"> inicialmente todos los recursos requeridos</w:t>
      </w:r>
      <w:r w:rsidR="000B4B1E">
        <w:t xml:space="preserve"> para las invocaciones para los agentes de monitorización y para la ejecución del proyecto Monitoriz@</w:t>
      </w:r>
      <w:r w:rsidR="000B4B1E" w:rsidRPr="000B4B1E">
        <w:t xml:space="preserve"> para su correcto funcionamiento.</w:t>
      </w:r>
    </w:p>
    <w:p w:rsidR="001C690C" w:rsidRPr="001C690C" w:rsidRDefault="000B4B1E" w:rsidP="001C690C">
      <w:pPr>
        <w:pStyle w:val="Prrafodelista"/>
        <w:numPr>
          <w:ilvl w:val="1"/>
          <w:numId w:val="6"/>
        </w:numPr>
      </w:pPr>
      <w:r w:rsidRPr="001C690C">
        <w:rPr>
          <w:b/>
        </w:rPr>
        <w:t xml:space="preserve">Archivos de trazas de ejecución: </w:t>
      </w:r>
      <w:r w:rsidR="001C690C" w:rsidRPr="001C690C">
        <w:t>Directorio donde son alojados los archivos de trazas de ejecución del Sistema, generados mediante la librería log</w:t>
      </w:r>
      <w:r w:rsidR="001C690C">
        <w:t>4j</w:t>
      </w:r>
      <w:r w:rsidR="001C690C" w:rsidRPr="001C690C">
        <w:t xml:space="preserve">. Este directorio puede ser configurado </w:t>
      </w:r>
      <w:r w:rsidR="001C690C">
        <w:t>en el fichero “</w:t>
      </w:r>
      <w:r w:rsidR="001C690C" w:rsidRPr="001C690C">
        <w:t>monitoriza-log4j.xml</w:t>
      </w:r>
      <w:r w:rsidR="001C690C">
        <w:t>“</w:t>
      </w:r>
      <w:r w:rsidR="001C690C" w:rsidRPr="001C690C">
        <w:t>.</w:t>
      </w:r>
    </w:p>
    <w:p w:rsidR="001C690C" w:rsidRPr="001C690C" w:rsidRDefault="001C690C" w:rsidP="001C690C">
      <w:pPr>
        <w:pStyle w:val="Prrafodelista"/>
        <w:numPr>
          <w:ilvl w:val="1"/>
          <w:numId w:val="6"/>
        </w:numPr>
      </w:pPr>
      <w:r w:rsidRPr="001C690C">
        <w:rPr>
          <w:b/>
          <w:bCs/>
        </w:rPr>
        <w:t>Almacenes de certificados electrónicos</w:t>
      </w:r>
      <w:r w:rsidRPr="001C690C">
        <w:t>. La securización de las comunicaciones y la invocación de ciertos servicios web pueden requerir la configuración de almacenes de certificados que alojen los certificados electrónicos empleados para tal propósito.</w:t>
      </w:r>
    </w:p>
    <w:p w:rsidR="0006365F" w:rsidRPr="0003077C" w:rsidRDefault="0003077C" w:rsidP="0003077C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Almacenes de archivos comprimidos. </w:t>
      </w:r>
      <w:r>
        <w:t>Los archivos comprimidos en ZIP almacenados desde los servicios publicados vía web, serán almacenados en una ruta que será configurada en el properties “staticMonitorizaConfig.properties” en el atributo “</w:t>
      </w:r>
      <w:r w:rsidRPr="0003077C">
        <w:t>directories.request.root.path</w:t>
      </w:r>
      <w:r>
        <w:t>”.</w:t>
      </w:r>
    </w:p>
    <w:p w:rsidR="0003077C" w:rsidRDefault="0003077C" w:rsidP="0003077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Variables requeridos por SAML: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assertionConsumerServiceURL: </w:t>
      </w:r>
      <w:r w:rsidR="006D5325" w:rsidRPr="006D5325">
        <w:t>Dirección del servicio de confianza de la petición Saml.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SPApplication:</w:t>
      </w:r>
      <w:r w:rsidR="006D5325">
        <w:rPr>
          <w:b/>
        </w:rPr>
        <w:t xml:space="preserve"> </w:t>
      </w:r>
      <w:r w:rsidR="006D5325" w:rsidRPr="006D5325">
        <w:t>Dirección destino de la petición Saml.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providerName:</w:t>
      </w:r>
      <w:r w:rsidR="006D5325">
        <w:rPr>
          <w:b/>
        </w:rPr>
        <w:t xml:space="preserve"> </w:t>
      </w:r>
      <w:r w:rsidR="006D5325" w:rsidRPr="006D5325">
        <w:t>Nombre del proveedor de la petición Saml.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SPType:</w:t>
      </w:r>
      <w:r w:rsidR="006D5325">
        <w:rPr>
          <w:b/>
        </w:rPr>
        <w:t xml:space="preserve"> </w:t>
      </w:r>
      <w:r w:rsidR="006D5325" w:rsidRPr="006D5325">
        <w:t>Tipo del proveedor del servicio de la petición Saml.</w:t>
      </w:r>
      <w:r w:rsidR="006D5325">
        <w:t xml:space="preserve"> Es una enumerado que soporta las cadena de texto, “public” y “private”.</w:t>
      </w:r>
    </w:p>
    <w:p w:rsidR="00846C90" w:rsidRPr="000B4B1E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Attributes:</w:t>
      </w:r>
      <w:r w:rsidR="006D5325">
        <w:rPr>
          <w:b/>
        </w:rPr>
        <w:t xml:space="preserve"> </w:t>
      </w:r>
      <w:r w:rsidR="006D5325" w:rsidRPr="006D5325">
        <w:t>Listado de atributos.</w:t>
      </w:r>
      <w:r w:rsidR="006D5325">
        <w:t xml:space="preserve"> Es una enumerado que soporta las cadena de texto, “familyName”, “firstName”, “dateOf Birth”, “personIdentifier”, “legalName” y “legalPersonIdentifier”.</w:t>
      </w:r>
    </w:p>
    <w:p w:rsidR="0006365F" w:rsidRPr="0006365F" w:rsidRDefault="0006365F" w:rsidP="0006365F"/>
    <w:p w:rsidR="00F0224B" w:rsidRDefault="00F0224B" w:rsidP="00A730B6">
      <w:pPr>
        <w:pStyle w:val="Ttulo1"/>
      </w:pPr>
      <w:bookmarkStart w:id="9" w:name="_Toc530486488"/>
      <w:r>
        <w:t>Diseño de componentes</w:t>
      </w:r>
      <w:bookmarkEnd w:id="9"/>
    </w:p>
    <w:p w:rsidR="006D5325" w:rsidRDefault="006D5325" w:rsidP="006D5325">
      <w:r>
        <w:t>La siguiente imagen ilustra gráficamente el diagrama de componentes del activo Cl@ve-Monitori@.</w:t>
      </w:r>
    </w:p>
    <w:p w:rsidR="002A69F3" w:rsidRDefault="00302CB0" w:rsidP="002A69F3">
      <w:pPr>
        <w:keepNext/>
      </w:pPr>
      <w:r>
        <w:rPr>
          <w:color w:val="FF0000"/>
          <w:lang w:val="en-US"/>
        </w:rPr>
        <w:lastRenderedPageBreak/>
        <w:pict>
          <v:shape id="_x0000_i1059" type="#_x0000_t75" style="width:405.7pt;height:226.65pt">
            <v:imagedata r:id="rId9" o:title="Component Diagram0" croptop="3002f" cropbottom="3125f" cropleft="1831f" cropright="920f"/>
          </v:shape>
        </w:pict>
      </w:r>
    </w:p>
    <w:p w:rsidR="006D5325" w:rsidRPr="002A69F3" w:rsidRDefault="002A69F3" w:rsidP="002A69F3">
      <w:pPr>
        <w:pStyle w:val="Descripcin"/>
        <w:jc w:val="center"/>
        <w:rPr>
          <w:color w:val="FF0000"/>
        </w:rPr>
      </w:pPr>
      <w:bookmarkStart w:id="10" w:name="_Toc530554634"/>
      <w:r>
        <w:t xml:space="preserve">Ilustración </w:t>
      </w:r>
      <w:r w:rsidR="00BC23DC">
        <w:fldChar w:fldCharType="begin"/>
      </w:r>
      <w:r w:rsidR="00BC23DC">
        <w:instrText xml:space="preserve"> SEQ Ilustración \* ARABIC </w:instrText>
      </w:r>
      <w:r w:rsidR="00BC23DC">
        <w:fldChar w:fldCharType="separate"/>
      </w:r>
      <w:r w:rsidR="00706D4D">
        <w:rPr>
          <w:noProof/>
        </w:rPr>
        <w:t>2</w:t>
      </w:r>
      <w:r w:rsidR="00BC23DC">
        <w:rPr>
          <w:noProof/>
        </w:rPr>
        <w:fldChar w:fldCharType="end"/>
      </w:r>
      <w:r>
        <w:t xml:space="preserve"> Diagrama de componentes</w:t>
      </w:r>
      <w:bookmarkEnd w:id="10"/>
    </w:p>
    <w:p w:rsidR="006D5325" w:rsidRPr="006D5325" w:rsidRDefault="006D5325" w:rsidP="006D5325"/>
    <w:p w:rsidR="00F0224B" w:rsidRDefault="00F0224B" w:rsidP="00A730B6">
      <w:pPr>
        <w:pStyle w:val="Ttulo2"/>
      </w:pPr>
      <w:bookmarkStart w:id="11" w:name="_Toc530486489"/>
      <w:r>
        <w:t>Consideraciones previas</w:t>
      </w:r>
      <w:bookmarkEnd w:id="11"/>
    </w:p>
    <w:p w:rsidR="00F0224B" w:rsidRDefault="00F0224B" w:rsidP="00A730B6">
      <w:pPr>
        <w:pStyle w:val="Ttulo3"/>
      </w:pPr>
      <w:bookmarkStart w:id="12" w:name="_Toc530486490"/>
      <w:r>
        <w:t xml:space="preserve">Definición de </w:t>
      </w:r>
      <w:r w:rsidR="00990FB1">
        <w:t>plataformas</w:t>
      </w:r>
      <w:bookmarkEnd w:id="12"/>
    </w:p>
    <w:p w:rsidR="006C5D62" w:rsidRDefault="00523B37" w:rsidP="006C5D62">
      <w:r>
        <w:t>Mediante la herramienta de monitorización se van a incorporar las plataformas que conectará</w:t>
      </w:r>
      <w:r w:rsidR="007631BC">
        <w:t xml:space="preserve"> con la pasarela de eIDAS y con el IdP de @firma, para es necesario lo que se introducirá en la carga inicial del sistema.</w:t>
      </w:r>
      <w:r w:rsidR="00317872">
        <w:t xml:space="preserve"> </w:t>
      </w:r>
      <w:r w:rsidR="009A2F8E">
        <w:t>Cada uno de los agentes de monitorización apunta a una plataforma distinta</w:t>
      </w:r>
      <w:r w:rsidR="00317872">
        <w:t xml:space="preserve"> y presenta la siguiente información: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Nombre: Denominación de la plataforma.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Host: Dirección base a donde apunta el agente de monitorización.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Puerto: Puerto de la dirección base.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Securizar peticiones: Indica si la plataforma utiliza HTTP o HTTPS.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Contexto del servicio: Contexto a donde apunta el agente de monitorización.</w:t>
      </w:r>
    </w:p>
    <w:p w:rsidR="004C0CA3" w:rsidRPr="009A2F8E" w:rsidRDefault="004C0CA3" w:rsidP="006C5D62"/>
    <w:p w:rsidR="00F0224B" w:rsidRDefault="00F0224B" w:rsidP="00A730B6">
      <w:pPr>
        <w:pStyle w:val="Ttulo3"/>
      </w:pPr>
      <w:bookmarkStart w:id="13" w:name="_Toc530486491"/>
      <w:r>
        <w:t>Definición de servicios</w:t>
      </w:r>
      <w:bookmarkEnd w:id="13"/>
    </w:p>
    <w:p w:rsidR="009F30F0" w:rsidRDefault="007631BC" w:rsidP="007631BC">
      <w:r>
        <w:t xml:space="preserve">Mediante la herramienta de monitorización se van a incorporar aquellos elementos necesarios para </w:t>
      </w:r>
      <w:r w:rsidR="00205A2D">
        <w:t>el funcionamiento de los servicios</w:t>
      </w:r>
      <w:r w:rsidR="00F63E5F">
        <w:t xml:space="preserve"> e incorporando las plataformas.</w:t>
      </w:r>
    </w:p>
    <w:p w:rsidR="009F30F0" w:rsidRDefault="00616DD5" w:rsidP="009F30F0">
      <w:r>
        <w:t>Se crea un servicio por cada agente de monitorización a realizar y presenta la siguiente información: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Nombre:</w:t>
      </w:r>
      <w:r w:rsidRPr="00B01079">
        <w:t xml:space="preserve"> Se indica el nombre que tendrá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Plataforma:</w:t>
      </w:r>
      <w:r w:rsidRPr="00B01079">
        <w:t xml:space="preserve"> Identifica la plataforma a la que se va a conectar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Tipo de Servicio:</w:t>
      </w:r>
      <w:r w:rsidRPr="00B01079">
        <w:t xml:space="preserve"> Identifica el tipo de servicio según la plataforma seleccionada.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Endpoint:</w:t>
      </w:r>
      <w:r w:rsidRPr="00B01079">
        <w:t xml:space="preserve"> Punto de la dirección URL en el que se encuentra el agente de monitorización.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Timeout:</w:t>
      </w:r>
      <w:r w:rsidRPr="00B01079">
        <w:t xml:space="preserve"> Tiempo de conexión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Timer:</w:t>
      </w:r>
      <w:r w:rsidRPr="00B01079">
        <w:t xml:space="preserve"> Identifica el temporizador con el que se va a controlar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lastRenderedPageBreak/>
        <w:t>Umbral degradado (milisegundos):</w:t>
      </w:r>
      <w:r w:rsidRPr="00B01079">
        <w:t xml:space="preserve"> Establece el tiempo en milisegundos el umbral máximo del tiempo de la petición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Alarma: </w:t>
      </w:r>
      <w:r w:rsidRPr="00B01079">
        <w:t xml:space="preserve">Identifica la alarma que saltara en el caso de producirse un problema en la petición de servicio. </w:t>
      </w:r>
    </w:p>
    <w:p w:rsidR="00616DD5" w:rsidRPr="009F30F0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Archivo de peticiones en formato ZIP: </w:t>
      </w:r>
      <w:r w:rsidRPr="00B01079">
        <w:t>Se establece el archivo ZIP que contiene la petición XML del servicio.</w:t>
      </w:r>
    </w:p>
    <w:p w:rsidR="00F0224B" w:rsidRDefault="00990FB1" w:rsidP="00A730B6">
      <w:pPr>
        <w:pStyle w:val="Ttulo2"/>
      </w:pPr>
      <w:bookmarkStart w:id="14" w:name="_Toc530486492"/>
      <w:r>
        <w:t>Monitoriz@</w:t>
      </w:r>
      <w:bookmarkEnd w:id="14"/>
    </w:p>
    <w:p w:rsidR="00775D83" w:rsidRDefault="00775D83" w:rsidP="001E4DA2">
      <w:r>
        <w:t>Sistema Base de monitorización desarrollado en principio para la herramienta @firma y Ts@. Su r</w:t>
      </w:r>
      <w:r w:rsidRPr="00775D83">
        <w:t>esponsabilidad es suministrar funcionalidades, utilidades y recursos de uso común a</w:t>
      </w:r>
      <w:r>
        <w:t xml:space="preserve"> </w:t>
      </w:r>
      <w:r w:rsidRPr="00775D83">
        <w:t>l</w:t>
      </w:r>
      <w:r>
        <w:t xml:space="preserve">os </w:t>
      </w:r>
      <w:r w:rsidRPr="00775D83">
        <w:t xml:space="preserve">componentes </w:t>
      </w:r>
      <w:r>
        <w:t xml:space="preserve">desarrollados </w:t>
      </w:r>
      <w:r w:rsidRPr="00775D83">
        <w:t>que conforman la solución final.</w:t>
      </w:r>
    </w:p>
    <w:p w:rsidR="001E4DA2" w:rsidRPr="001E4DA2" w:rsidRDefault="001E4DA2" w:rsidP="001E4DA2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E4DA2">
        <w:rPr>
          <w:rFonts w:ascii="Calibri" w:eastAsia="Times New Roman" w:hAnsi="Calibri" w:cs="Calibri"/>
          <w:color w:val="000000"/>
          <w:sz w:val="24"/>
          <w:szCs w:val="24"/>
        </w:rPr>
        <w:t>Este componente presenta una arquitectura compleja, estando a su vez conformado por otros componentes, como se ilustra en el siguiente diagrama:</w:t>
      </w:r>
    </w:p>
    <w:p w:rsidR="001E4DA2" w:rsidRDefault="00302CB0" w:rsidP="001E4DA2">
      <w:pPr>
        <w:pStyle w:val="western"/>
        <w:keepNext/>
      </w:pPr>
      <w:r>
        <w:pict>
          <v:shape id="_x0000_i1060" type="#_x0000_t75" style="width:427pt;height:256.05pt">
            <v:imagedata r:id="rId10" o:title="Component Diagram1" croptop="4121f" cropbottom="7064f" cropleft="10787f" cropright="1157f"/>
          </v:shape>
        </w:pict>
      </w:r>
    </w:p>
    <w:p w:rsidR="001E4DA2" w:rsidRDefault="001E4DA2" w:rsidP="001E4DA2">
      <w:pPr>
        <w:pStyle w:val="Descripcin"/>
        <w:jc w:val="center"/>
      </w:pPr>
      <w:bookmarkStart w:id="15" w:name="_Toc530554635"/>
      <w:r>
        <w:t xml:space="preserve">Ilustración </w:t>
      </w:r>
      <w:r w:rsidR="00BC23DC">
        <w:fldChar w:fldCharType="begin"/>
      </w:r>
      <w:r w:rsidR="00BC23DC">
        <w:instrText xml:space="preserve"> SEQ Ilustración \* ARABIC </w:instrText>
      </w:r>
      <w:r w:rsidR="00BC23DC">
        <w:fldChar w:fldCharType="separate"/>
      </w:r>
      <w:r w:rsidR="00706D4D">
        <w:rPr>
          <w:noProof/>
        </w:rPr>
        <w:t>3</w:t>
      </w:r>
      <w:r w:rsidR="00BC23DC">
        <w:rPr>
          <w:noProof/>
        </w:rPr>
        <w:fldChar w:fldCharType="end"/>
      </w:r>
      <w:r>
        <w:t xml:space="preserve"> Diagrama de componente Monitoriza</w:t>
      </w:r>
      <w:bookmarkEnd w:id="15"/>
    </w:p>
    <w:p w:rsidR="001E4DA2" w:rsidRPr="001E4DA2" w:rsidRDefault="001E4DA2" w:rsidP="001E4DA2"/>
    <w:p w:rsidR="00775D83" w:rsidRDefault="00902EDF" w:rsidP="00902EDF">
      <w:pPr>
        <w:pStyle w:val="Ttulo3"/>
      </w:pPr>
      <w:bookmarkStart w:id="16" w:name="_Toc530486493"/>
      <w:r>
        <w:t>Arquitectura del componente</w:t>
      </w:r>
      <w:bookmarkEnd w:id="16"/>
    </w:p>
    <w:p w:rsidR="00BD21A5" w:rsidRDefault="00AE5A47" w:rsidP="00BD21A5">
      <w:r w:rsidRPr="001E4DA2">
        <w:t xml:space="preserve">En los siguiente apartados se describe detalladamente cada uno de </w:t>
      </w:r>
      <w:r>
        <w:t>los</w:t>
      </w:r>
      <w:r w:rsidRPr="001E4DA2">
        <w:t xml:space="preserve"> componentes</w:t>
      </w:r>
      <w:r>
        <w:t xml:space="preserve"> que han sido modificados para la incorporación de los componentes necesarios para el desarrollo necesario</w:t>
      </w:r>
      <w:r w:rsidRPr="001E4DA2">
        <w:t>.</w:t>
      </w:r>
      <w:r>
        <w:t xml:space="preserve"> </w:t>
      </w:r>
      <w:r w:rsidR="00BD21A5">
        <w:t xml:space="preserve">Las modificaciones han sido lo menos intrusivas con el proyecto base de Monitoriz@. </w:t>
      </w:r>
      <w:r>
        <w:t>Para el resto de componentes se hace referen</w:t>
      </w:r>
      <w:r w:rsidR="00BD21A5">
        <w:t>cia al documento de Monitoriz@.</w:t>
      </w:r>
    </w:p>
    <w:p w:rsidR="00BD21A5" w:rsidRDefault="00BD21A5" w:rsidP="00BD21A5"/>
    <w:p w:rsidR="00BD21A5" w:rsidRDefault="00BD21A5" w:rsidP="00BD21A5"/>
    <w:p w:rsidR="00902EDF" w:rsidRDefault="001E4DA2" w:rsidP="0018795B">
      <w:pPr>
        <w:pStyle w:val="Ttulo4"/>
      </w:pPr>
      <w:r>
        <w:lastRenderedPageBreak/>
        <w:t>Componente monitoriza-afirma-status-app</w:t>
      </w:r>
    </w:p>
    <w:p w:rsidR="004C4511" w:rsidRPr="008721BE" w:rsidRDefault="00BD21A5" w:rsidP="004C4511">
      <w:r>
        <w:t xml:space="preserve">Se </w:t>
      </w:r>
      <w:r w:rsidR="00096E2B">
        <w:t>m</w:t>
      </w:r>
      <w:r>
        <w:t xml:space="preserve">odifica la clase </w:t>
      </w:r>
      <w:r w:rsidRPr="008721BE">
        <w:rPr>
          <w:i/>
        </w:rPr>
        <w:t>RequestProcessorThread</w:t>
      </w:r>
      <w:r w:rsidR="00096E2B">
        <w:t xml:space="preserve"> </w:t>
      </w:r>
      <w:r w:rsidR="008721BE">
        <w:t>añ</w:t>
      </w:r>
      <w:r w:rsidR="008721BE" w:rsidRPr="008721BE">
        <w:t>adiendo al método run() una nueva condición en el caso en el que el tipo de servicio sea HTTP.</w:t>
      </w:r>
    </w:p>
    <w:p w:rsidR="00BD21A5" w:rsidRPr="004C4511" w:rsidRDefault="00BD21A5" w:rsidP="004C4511"/>
    <w:p w:rsidR="00540D46" w:rsidRPr="00706D4D" w:rsidRDefault="00540D46" w:rsidP="00540D46">
      <w:pPr>
        <w:pStyle w:val="Ttulo4"/>
      </w:pPr>
      <w:r w:rsidRPr="00706D4D">
        <w:t>Componente monitoriza-core</w:t>
      </w:r>
    </w:p>
    <w:p w:rsidR="008721BE" w:rsidRPr="008721BE" w:rsidRDefault="008721BE" w:rsidP="008721BE">
      <w:r w:rsidRPr="008721BE">
        <w:t xml:space="preserve">Se añade dos nuevos </w:t>
      </w:r>
      <w:r w:rsidR="009F52D6" w:rsidRPr="008721BE">
        <w:t>métodos</w:t>
      </w:r>
      <w:r w:rsidRPr="008721BE">
        <w:t xml:space="preserve"> para guardar la nueva plataforma desarrollada en el nuevo complemento:</w:t>
      </w:r>
    </w:p>
    <w:p w:rsidR="008721BE" w:rsidRPr="008721BE" w:rsidRDefault="008721BE" w:rsidP="008721BE">
      <w:pPr>
        <w:pStyle w:val="Prrafodelista"/>
        <w:numPr>
          <w:ilvl w:val="0"/>
          <w:numId w:val="8"/>
        </w:numPr>
        <w:rPr>
          <w:b/>
        </w:rPr>
      </w:pPr>
      <w:r w:rsidRPr="008721BE">
        <w:rPr>
          <w:b/>
        </w:rPr>
        <w:t xml:space="preserve">findAllByPlatformType: </w:t>
      </w:r>
      <w:r>
        <w:t>Devuelve todas las plataformas según el tipo de plataforma seleccionada.</w:t>
      </w:r>
    </w:p>
    <w:p w:rsidR="00AE5A47" w:rsidRPr="003562B9" w:rsidRDefault="008721BE" w:rsidP="00AE5A47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savePlatformClave: </w:t>
      </w:r>
      <w:r w:rsidRPr="008721BE">
        <w:t>Almacena</w:t>
      </w:r>
      <w:r>
        <w:rPr>
          <w:b/>
        </w:rPr>
        <w:t xml:space="preserve"> </w:t>
      </w:r>
      <w:r>
        <w:t>la configuración de la plataforma de clave en la base de datos.</w:t>
      </w:r>
    </w:p>
    <w:p w:rsidR="00AE5A47" w:rsidRPr="00706D4D" w:rsidRDefault="00AE5A47" w:rsidP="00AE5A47">
      <w:pPr>
        <w:pStyle w:val="Ttulo4"/>
      </w:pPr>
      <w:r w:rsidRPr="00706D4D">
        <w:t>Componente monitoriza-web</w:t>
      </w:r>
    </w:p>
    <w:p w:rsidR="008721BE" w:rsidRPr="009F52D6" w:rsidRDefault="009F52D6" w:rsidP="008721BE">
      <w:r w:rsidRPr="009F52D6">
        <w:t>Se añaden nuevas condiciones en dos métodos ya creados en el proyecto base de Monitoriz@: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loadServiceT</w:t>
      </w:r>
      <w:r w:rsidRPr="009F52D6">
        <w:rPr>
          <w:b/>
        </w:rPr>
        <w:t xml:space="preserve">ype: </w:t>
      </w:r>
      <w:r>
        <w:t>Se añade una nueva condición para los servicios de tipo HTTP.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loadBaseEndpoint: </w:t>
      </w:r>
      <w:r>
        <w:t>Se añade una nueva condición para los servicios de tipo HTTP.</w:t>
      </w:r>
    </w:p>
    <w:p w:rsidR="00BD21A5" w:rsidRDefault="002843FF" w:rsidP="00BD21A5">
      <w:r>
        <w:t xml:space="preserve">Al añadir el nuevo complemento </w:t>
      </w:r>
      <w:r w:rsidRPr="002843FF">
        <w:rPr>
          <w:i/>
        </w:rPr>
        <w:t>monitoriza-clave-web</w:t>
      </w:r>
      <w:r>
        <w:t>, se modifica la forma de obtener la internalización de las vistas, por lo que se modifica el directorio que tenía el proyecto base de Monitoriz@</w:t>
      </w:r>
      <w:r w:rsidR="00B02433">
        <w:t xml:space="preserve"> y su vez para que esto funcione se añade al </w:t>
      </w:r>
      <w:r w:rsidR="00B02433" w:rsidRPr="00B02433">
        <w:rPr>
          <w:i/>
        </w:rPr>
        <w:t>application.properties</w:t>
      </w:r>
      <w:r w:rsidR="00B02433">
        <w:t xml:space="preserve"> la referencia a esa nueva dirección.</w:t>
      </w:r>
    </w:p>
    <w:p w:rsidR="00B02433" w:rsidRPr="00B02433" w:rsidRDefault="00B02433" w:rsidP="00BD21A5">
      <w:r>
        <w:t xml:space="preserve">Se añade un nuevo enlace en la vista del </w:t>
      </w:r>
      <w:r w:rsidRPr="00B02433">
        <w:rPr>
          <w:i/>
        </w:rPr>
        <w:t>sidebar.html</w:t>
      </w:r>
      <w:r>
        <w:t xml:space="preserve"> para la gestión de las plataformas de Cl@ve.</w:t>
      </w:r>
    </w:p>
    <w:p w:rsidR="00BD21A5" w:rsidRPr="00E12C27" w:rsidRDefault="00AE5A47" w:rsidP="00AE5A47">
      <w:pPr>
        <w:pStyle w:val="Ttulo4"/>
      </w:pPr>
      <w:r w:rsidRPr="00E12C27">
        <w:t>Componente monitoriza-persistence</w:t>
      </w:r>
    </w:p>
    <w:p w:rsidR="00BD21A5" w:rsidRPr="00E12C27" w:rsidRDefault="00E12C27" w:rsidP="00BD21A5">
      <w:r w:rsidRPr="00E12C27">
        <w:t>Se añade en los scripts</w:t>
      </w:r>
      <w:r>
        <w:t xml:space="preserve"> de base de datos una nueva inserción para el tipo de servicio para cl@ve.</w:t>
      </w:r>
    </w:p>
    <w:p w:rsidR="00AE5A47" w:rsidRPr="00AE5A47" w:rsidRDefault="00AE5A47" w:rsidP="00AE5A47">
      <w:pPr>
        <w:pStyle w:val="Ttulo4"/>
      </w:pPr>
      <w:r>
        <w:t>Componente monitoriza-parent</w:t>
      </w:r>
    </w:p>
    <w:p w:rsidR="003562B9" w:rsidRDefault="003562B9" w:rsidP="003562B9">
      <w:pPr>
        <w:rPr>
          <w:b/>
        </w:rPr>
      </w:pPr>
      <w:r>
        <w:t>Se modifica el fichero de configuración</w:t>
      </w:r>
      <w:r>
        <w:rPr>
          <w:b/>
        </w:rPr>
        <w:t xml:space="preserve"> </w:t>
      </w:r>
      <w:r w:rsidRPr="003562B9">
        <w:rPr>
          <w:i/>
        </w:rPr>
        <w:t>catalina</w:t>
      </w:r>
      <w:r>
        <w:rPr>
          <w:i/>
        </w:rPr>
        <w:t>.properties</w:t>
      </w:r>
      <w:r>
        <w:t xml:space="preserve"> de tomcat</w:t>
      </w:r>
      <w:r>
        <w:rPr>
          <w:b/>
        </w:rPr>
        <w:t xml:space="preserve"> </w:t>
      </w:r>
      <w:r w:rsidRPr="003562B9">
        <w:t>se</w:t>
      </w:r>
      <w:r>
        <w:t xml:space="preserve"> añade la referencia de los nuevos directorios de internalización.</w:t>
      </w:r>
    </w:p>
    <w:p w:rsidR="001E4DA2" w:rsidRPr="00902EDF" w:rsidRDefault="003562B9" w:rsidP="00902EDF">
      <w:r>
        <w:t>Se añade al repositorio de maven los JAR correspondientes de la herramienta de eIDAS.</w:t>
      </w:r>
    </w:p>
    <w:p w:rsidR="006C5D62" w:rsidRPr="006C5D62" w:rsidRDefault="006C5D62" w:rsidP="006C5D62"/>
    <w:p w:rsidR="00F0224B" w:rsidRDefault="00F0224B" w:rsidP="00A730B6">
      <w:pPr>
        <w:pStyle w:val="Ttulo2"/>
      </w:pPr>
      <w:bookmarkStart w:id="17" w:name="_Toc530486494"/>
      <w:r>
        <w:t>Componente clave-status-app</w:t>
      </w:r>
      <w:bookmarkEnd w:id="17"/>
    </w:p>
    <w:p w:rsidR="008B33E0" w:rsidRPr="008B33E0" w:rsidRDefault="00962306" w:rsidP="008B33E0">
      <w:r>
        <w:t xml:space="preserve">Este componente Java aporta las clases </w:t>
      </w:r>
      <w:r w:rsidR="008B33E0">
        <w:t>mínimas</w:t>
      </w:r>
      <w:r>
        <w:t xml:space="preserve"> para la invocación del método utilizado para los agentes de la monitorización.</w:t>
      </w:r>
      <w:r w:rsidR="008B33E0" w:rsidRPr="008B33E0">
        <w:t xml:space="preserve"> </w:t>
      </w:r>
      <w:r w:rsidR="008B33E0">
        <w:t>Cabe destacar la</w:t>
      </w:r>
      <w:r w:rsidR="008B33E0" w:rsidRPr="008B33E0">
        <w:t>s siguientes</w:t>
      </w:r>
      <w:r w:rsidR="008B33E0">
        <w:t xml:space="preserve"> clases</w:t>
      </w:r>
      <w:r w:rsidR="008B33E0" w:rsidRPr="008B33E0">
        <w:t>:</w:t>
      </w:r>
    </w:p>
    <w:p w:rsidR="00962306" w:rsidRPr="005C206A" w:rsidRDefault="005C206A" w:rsidP="005C206A">
      <w:pPr>
        <w:pStyle w:val="Prrafodelista"/>
        <w:numPr>
          <w:ilvl w:val="0"/>
          <w:numId w:val="8"/>
        </w:numPr>
      </w:pPr>
      <w:r>
        <w:t xml:space="preserve">Paquete </w:t>
      </w:r>
      <w:r w:rsidRPr="005C206A">
        <w:rPr>
          <w:b/>
        </w:rPr>
        <w:t>es.gob.monitoriza.invoker.http:</w:t>
      </w:r>
    </w:p>
    <w:p w:rsidR="005C206A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Clase </w:t>
      </w:r>
      <w:r w:rsidRPr="007656A9">
        <w:rPr>
          <w:b/>
        </w:rPr>
        <w:t>AbstractHttpInvoker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Clase abstracta que implementa algunas clases propias del método de invocación de la clase HttpInvoker.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Interfaz </w:t>
      </w:r>
      <w:r w:rsidRPr="007656A9">
        <w:rPr>
          <w:b/>
        </w:rPr>
        <w:t>Constants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Interfaz con todas las constantes utilizadas en el componente.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lastRenderedPageBreak/>
        <w:t xml:space="preserve">Clase </w:t>
      </w:r>
      <w:r w:rsidRPr="007656A9">
        <w:rPr>
          <w:b/>
        </w:rPr>
        <w:t>HttpInvoker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Clase extensible de AbstractHttpInvoker y contiene el método principal del envío de la petición.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r w:rsidRPr="007656A9">
        <w:rPr>
          <w:b/>
        </w:rPr>
        <w:t>es.gob.monitoriza.invoker.</w:t>
      </w:r>
      <w:r>
        <w:rPr>
          <w:b/>
        </w:rPr>
        <w:t>http.</w:t>
      </w:r>
      <w:r w:rsidRPr="007656A9">
        <w:rPr>
          <w:b/>
        </w:rPr>
        <w:t>conf.messages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Paquete que contiene todas las clases de la conversión de XML a JAXB y viceversa.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r>
        <w:rPr>
          <w:b/>
        </w:rPr>
        <w:t>es.gob.monitoriza.invoker.http.conf.util</w:t>
      </w:r>
    </w:p>
    <w:p w:rsidR="007656A9" w:rsidRPr="007656A9" w:rsidRDefault="007656A9" w:rsidP="007656A9">
      <w:pPr>
        <w:pStyle w:val="Prrafodelista"/>
        <w:numPr>
          <w:ilvl w:val="1"/>
          <w:numId w:val="8"/>
        </w:numPr>
      </w:pPr>
      <w:r>
        <w:t xml:space="preserve">Clase </w:t>
      </w:r>
      <w:r w:rsidRPr="007656A9">
        <w:rPr>
          <w:b/>
        </w:rPr>
        <w:t>Utilities</w:t>
      </w:r>
    </w:p>
    <w:p w:rsidR="007656A9" w:rsidRPr="007656A9" w:rsidRDefault="007656A9" w:rsidP="007656A9">
      <w:pPr>
        <w:ind w:left="708"/>
      </w:pPr>
      <w:r>
        <w:t>Clase agrupadora de métodos y utilidades globales en el componente.</w:t>
      </w:r>
    </w:p>
    <w:p w:rsid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r>
        <w:rPr>
          <w:b/>
        </w:rPr>
        <w:t>es.gob.monitoriza.invoker.http.saml</w:t>
      </w:r>
    </w:p>
    <w:p w:rsidR="008B33E0" w:rsidRPr="00962306" w:rsidRDefault="00102C84" w:rsidP="00102C84">
      <w:pPr>
        <w:ind w:left="708"/>
      </w:pPr>
      <w:r>
        <w:t>Paquete con clases procedentes del proyecto cl@ve y necesarias para la creación del encapsulado SAML.</w:t>
      </w:r>
    </w:p>
    <w:p w:rsidR="0018795B" w:rsidRDefault="00990FB1" w:rsidP="00EE31AA">
      <w:pPr>
        <w:pStyle w:val="Ttulo3"/>
      </w:pPr>
      <w:bookmarkStart w:id="18" w:name="_Toc530486495"/>
      <w:r>
        <w:t>Operativa del agente de monitorización</w:t>
      </w:r>
      <w:bookmarkEnd w:id="18"/>
    </w:p>
    <w:p w:rsidR="00EE31AA" w:rsidRDefault="00EE31AA" w:rsidP="00EE31AA">
      <w:r>
        <w:t>La elaboración de una petición a través de la herramienta Monitoriz@ se enumera de la siguiente forma: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Obtención de las configuraciones correspondientes del servicio del agente a monitorizar: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 la base de datos</w:t>
      </w:r>
      <w:r w:rsidR="0061084E">
        <w:t>.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del ZIP descomprimido con información dinámica del agente a monitorizar.</w:t>
      </w:r>
    </w:p>
    <w:p w:rsidR="0018795B" w:rsidRDefault="00EE31AA" w:rsidP="00EE31AA">
      <w:pPr>
        <w:pStyle w:val="Prrafodelista"/>
        <w:numPr>
          <w:ilvl w:val="0"/>
          <w:numId w:val="13"/>
        </w:numPr>
      </w:pPr>
      <w:r>
        <w:t>Validación por medio de JAXB del fichero XML obtenido del ZIP descomprimido del punto anterior.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Generación de la petición SAML con todos los datos recopilados anteriormente.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Creación de la petición HTTP.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Esta petición puede ir securizada, para ello se obtendrá del fichero XML la ruta del keyStore para la autenticación mutua.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Se añaden la cabecera y el cuerpo en la petición con los atributos estáticos.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Envío de la petición según se indica en las configuración obtenida.</w:t>
      </w:r>
    </w:p>
    <w:p w:rsidR="00EE31AA" w:rsidRPr="009F30F0" w:rsidRDefault="00EE31AA" w:rsidP="00EE31AA">
      <w:pPr>
        <w:ind w:left="360"/>
      </w:pPr>
    </w:p>
    <w:p w:rsidR="00990FB1" w:rsidRDefault="00990FB1" w:rsidP="00990FB1">
      <w:pPr>
        <w:pStyle w:val="Ttulo3"/>
      </w:pPr>
      <w:bookmarkStart w:id="19" w:name="_Toc530486496"/>
      <w:r>
        <w:t>Parametrización peticiones</w:t>
      </w:r>
      <w:bookmarkEnd w:id="19"/>
    </w:p>
    <w:p w:rsidR="00094087" w:rsidRPr="00094087" w:rsidRDefault="00094087" w:rsidP="00094087">
      <w:r>
        <w:t>A continuación se indica el fichero XSD con la</w:t>
      </w:r>
      <w:r w:rsidR="00EB5193">
        <w:t xml:space="preserve"> normalización que debe tener el fichero XML final.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094087" w:rsidRPr="00FD3A43" w:rsidTr="00094087">
        <w:trPr>
          <w:trHeight w:val="1484"/>
        </w:trPr>
        <w:tc>
          <w:tcPr>
            <w:tcW w:w="10774" w:type="dxa"/>
          </w:tcPr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de-DE"/>
              </w:rPr>
            </w:pP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yellow"/>
                <w:lang w:val="de-DE"/>
              </w:rPr>
              <w:t>&lt;?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de-DE"/>
              </w:rPr>
              <w:t>xml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de-DE"/>
              </w:rPr>
              <w:t>version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de-DE"/>
              </w:rPr>
              <w:t>"1.0"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de-DE"/>
              </w:rPr>
              <w:t>encoding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de-DE"/>
              </w:rPr>
              <w:t>"UTF-8"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yellow"/>
                <w:lang w:val="de-DE"/>
              </w:rPr>
              <w:t>?&gt;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</w:pP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de-DE"/>
              </w:rPr>
              <w:t>&lt;xsd:schema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de-DE"/>
              </w:rPr>
              <w:t>xmlns:xsd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de-DE"/>
              </w:rPr>
              <w:t>"http://www.w3.org/2001/XMLSchema"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</w:pP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ab/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de-DE"/>
              </w:rPr>
              <w:t>xmlns:mcl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de-DE"/>
              </w:rPr>
              <w:t>"urn:es:gob:monitoriza:invoker:http:conf:messages:1.0.0"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</w:pP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ab/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de-DE"/>
              </w:rPr>
              <w:t>targetNamespace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de-DE"/>
              </w:rPr>
              <w:t>"urn:es:gob:monitoriza:invoker:http:conf:messages:1.0.0"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de-DE"/>
              </w:rPr>
            </w:pP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ab/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de-DE"/>
              </w:rPr>
              <w:t>elementFormDefault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de-DE"/>
              </w:rPr>
              <w:t>"qualified"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de-DE"/>
              </w:rPr>
              <w:t>attributeFormDefault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de-D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de-DE"/>
              </w:rPr>
              <w:t>"unqualified"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de-D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de-D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de-D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de-D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de-D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de-D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  <w:t>Esquema XML que define la petición a realizar para el servicio de la pasarela de cl@ve.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Configuración de los atributos de conexión de la 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"ProxyConfType"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Configuración del proxy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lastRenderedPageBreak/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"host"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Identificador del host.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"port"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Identificador del puerto.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"user"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Identificador del usuario. Opcional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"password"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Identificador del contraseña. Opcional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"AuthenticationMutualType"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autenticación mutua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"path"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"xsd:string"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Dirección del almacenamiento de las claves. Opcional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"base64"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"xsd:string"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Base64 del almacenamiento de las claves. 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"passwordKeyStore"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Contraseña del almacenamiento de las claves.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"typeKeyStore"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Tipo del almacenamiento de las claves.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"alias"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"xsd:string"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Alias del certificado a seleccionar del almacen de confianza.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"passwordAlias"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"xsd:string"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Contraseña del alias del certificado a seleccionar del almacen de confianza.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"ConnectionType"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conexión de la petición. Opcional.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lastRenderedPageBreak/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"proxy"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"mcl:ProxyConfType"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del proxy. 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"authenticationMutual"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"mcl:AuthenticationMutualType"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autenticación mutua. 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Fin configuración de los atributos de conexión de la 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Configuración de la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Enumerados de la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&lt;xsd:simpleType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"SPRequestType"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Tipo de peticion a la SP.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&lt;xsd:restriction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base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"public"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"private"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&lt;/xsd:restriction&gt;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&lt;/xsd:simpleType&gt;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&lt;xsd:simpleType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"AttributeType"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Tipo que define los atributos que pueden ser solicitados en una petición SAML.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&lt;xsd:restriction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base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"familyName"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"firstName"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"dateOfBirth"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"personIdentifier"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"legalName"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&lt;xsd:enumeration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value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"legalPersonIdentifier"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/&gt;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&lt;/xsd:restriction&gt;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&lt;/xsd:simpleType&gt;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Fin enumerados de la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Configuración de los parámetros de la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"ParamType"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Tipo que define un parámetro mediante su identificador y su valor.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"id"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Identificador del parámetro.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"value"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Valor del parámetro.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"ParamsType"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Tipo que define la relación de parámetros.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"param"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"mcl:ParamType"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maxOccurs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"unbounded"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lastRenderedPageBreak/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Un parámetros de la relación de parámetros.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"AttributesType"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Tipo que define la relación de atributos de una peticion SAML.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"attribute"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"mcl:AttributeType"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maxOccurs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"unbounded"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Un atributo de la relación de atributos.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"SamlRequestType"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petición Saml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"assertionConsumerServiceURL"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Direccion del servicio de confianza de la petición Saml.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"SPApplication"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Dirección destino de la petición Saml.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"providerName"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Nombre del proveedor de la petición Saml.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"SPType"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"mcl:SPRequestType"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>Tipo del proveedor del servicio de la petición Saml.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"attributes"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"mcl:AttributesType"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>Listado de atributos.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fr-FR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fr-FR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fr-FR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fr-FR"/>
              </w:rPr>
              <w:t>"HttpRequestType"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fr-FR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conexión de la petición. Opcional.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"headers"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"mcl:ParamsType"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los otros parámetros. 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"params"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"mcl:ParamsType"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los otros parámetros. 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lastRenderedPageBreak/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"result"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"xsd:string"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Lista de codigos HTTP esperados en la respuesta.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"RequestType"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conexión de la petición. Opcional.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"httpRequest"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"mcl:HttpRequestType"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peticion http. 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"samlRequest"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"mcl:SamlRequestType"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petición Saml encapsulada en la patición HTTP.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Fin configuración de los parámetros de la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Fin configuración de la petición --&gt;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&lt;xsd:complexType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"ClaveAgentConfType"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Define la configuración para el envio de una petición SAML sin metadatos, mediante HTTP, al sistema de identificación Cl@ve (Pasarela o IdP).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"connection"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"mcl:ConnectionType"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conexión de la petición. 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"request"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"mcl:RequestType"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minOccurs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de la petición. Opcional.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&lt;/xsd:sequence&gt;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&lt;/xsd:complexType&gt;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&lt;xsd:element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name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"claveAgentConf"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302CB0"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  <w:lang w:val="en-US"/>
              </w:rPr>
              <w:t>type</w:t>
            </w:r>
            <w:r w:rsidRPr="00302CB0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=</w:t>
            </w:r>
            <w:r w:rsidRPr="00302CB0"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  <w:lang w:val="en-US"/>
              </w:rPr>
              <w:t>"mcl:ClaveAgentConfType"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  <w:lang w:val="en-US"/>
              </w:rPr>
              <w:t>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&lt;xsd:documentation&gt;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Configuración para el envio de una petición SAML sin metadatos, mediante HTTP, al sistema de identificación Cl@ve (Pasarela o IdP).</w:t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&lt;/xsd:documentation&gt;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&lt;/xsd:annotation&gt;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&lt;/xsd:element&gt;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094087" w:rsidRPr="00FD3A43" w:rsidRDefault="00302CB0" w:rsidP="00302C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02CB0"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&lt;/xsd:schema&gt;</w:t>
            </w:r>
          </w:p>
        </w:tc>
      </w:tr>
    </w:tbl>
    <w:p w:rsidR="00094087" w:rsidRDefault="00094087" w:rsidP="00094087"/>
    <w:p w:rsidR="00EB5193" w:rsidRPr="00B01079" w:rsidRDefault="00EB5193" w:rsidP="00EB5193">
      <w:r>
        <w:t>A continuación se indica un tipo de XML válido: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193" w:rsidRPr="00B01079" w:rsidTr="00EB5193">
        <w:tc>
          <w:tcPr>
            <w:tcW w:w="8494" w:type="dxa"/>
          </w:tcPr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r w:rsidRPr="00CB4318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B4318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r w:rsidRPr="00CB4318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B4318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CB4318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&lt;mcl:claveAgentConf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B4318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&lt;mcl:connection&gt;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&lt;mcl:proxy&gt;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&lt;mcl:host&gt;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localhost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&lt;/mcl:host&gt;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lastRenderedPageBreak/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&lt;mcl:port&gt;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8888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&lt;/mcl:port&gt;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&lt;mcl:user&gt;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usuario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&lt;/mcl:user&gt;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&lt;mcl:password&gt;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12345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&lt;/mcl:password&gt;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&lt;/mcl:proxy&gt;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&lt;mcl:authenticationMutual&gt;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&lt;mcl:passwordKeyStore&gt;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G5cp,fYC9gje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&lt;/mcl:passwordKeyStore&gt;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&lt;mcl:typeKeyStore&gt;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jks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&lt;/mcl:typeKeyStore&gt;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&lt;mcl:path&gt;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C:\\Trabajo\\CertificadosPruebas\\certificado.p12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&lt;/mcl:path&gt;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&lt;/mcl:authenticationMutual&gt;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&lt;/mcl:connection&gt;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&lt;mcl:request&gt;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&lt;mcl:httpRequest&gt;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&lt;mcl:headers&gt;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&lt;mcl:param&gt;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&lt;mcl:id&gt;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parametroH1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&lt;/mcl:id&gt;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&lt;mcl:value&gt;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valorH1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&lt;/mcl:value&gt;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&lt;/mcl:param&gt;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&lt;mcl:param&gt;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&lt;mcl:id&gt;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parametroH2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&lt;/mcl:id&gt;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&lt;mcl:value&gt;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valorH2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&lt;/mcl:value&gt;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&lt;/mcl:param&gt;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&lt;/mcl:headers&gt;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&lt;mcl:params&gt;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&lt;mcl:param&gt;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&lt;mcl:id&gt;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parametro1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&lt;/mcl:id&gt;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&lt;mcl:value&gt;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&lt;/mcl:value&gt;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&lt;/mcl:param&gt;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&lt;mcl:param&gt;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&lt;mcl:id&gt;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parametro2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&lt;/mcl:id&gt;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&lt;mcl:value&gt;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&lt;/mcl:value&gt;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&lt;/mcl:param&gt;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&lt;/mcl:params&gt;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 xml:space="preserve">                    &lt;mcl:result&gt;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200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&lt;/mcl:result&gt;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&lt;/mcl:httpRequest&gt;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&lt;mcl:samlRequest&gt;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&lt;mcl:assertionConsumerServiceURL&gt;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u w:val="single"/>
                <w:lang w:val="pt-PT"/>
              </w:rPr>
              <w:t>http://localhost:8080/Proxy2/ServiceProvider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&lt;/mcl:assertionConsumerServiceURL&gt;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&lt;mcl:SPApplication&gt;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SPApp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&lt;/mcl:SPApplication&gt;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&lt;mcl:providerName&gt;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DEMO-SP_NIF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&lt;/mcl:providerName&gt;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&lt;mcl:SPType&gt;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public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&lt;/mcl:SPType&gt;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&lt;mcl:attributes&gt;</w:t>
            </w:r>
          </w:p>
          <w:p w:rsidR="00302CB0" w:rsidRPr="00302CB0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&lt;mcl:attribute&gt;</w:t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familyName</w:t>
            </w:r>
            <w:r w:rsidRPr="00302CB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&lt;/mcl:attribute&gt;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302CB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&lt;/mcl:attributes&gt;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&lt;/mcl:samlRequest&gt;</w:t>
            </w:r>
          </w:p>
          <w:p w:rsidR="00302CB0" w:rsidRPr="00CB4318" w:rsidRDefault="00302CB0" w:rsidP="00302C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&lt;/mcl:request&gt;</w:t>
            </w:r>
          </w:p>
          <w:p w:rsidR="00EB5193" w:rsidRPr="00B01079" w:rsidRDefault="00302CB0" w:rsidP="00302CB0"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&lt;/mcl:ClaveAgentConf&gt;</w:t>
            </w:r>
          </w:p>
        </w:tc>
      </w:tr>
    </w:tbl>
    <w:p w:rsidR="00EB5193" w:rsidRDefault="00EB5193" w:rsidP="00094087"/>
    <w:p w:rsidR="00EE31AA" w:rsidRDefault="00EB5193" w:rsidP="00094087">
      <w:pPr>
        <w:rPr>
          <w:b/>
        </w:rPr>
      </w:pPr>
      <w:r>
        <w:t>A continuación se explica cada uno de los atributos que contiene el fichero XSD</w:t>
      </w:r>
      <w:r w:rsidR="00EE31AA">
        <w:t xml:space="preserve">, todas estas clases se ubican en el paquete </w:t>
      </w:r>
      <w:r w:rsidR="00EE31AA" w:rsidRPr="00EE31AA">
        <w:rPr>
          <w:b/>
        </w:rPr>
        <w:t>es.gob.monitoriza.invoker.http.conf.messages</w:t>
      </w:r>
      <w:r w:rsidRPr="00EE31AA">
        <w:rPr>
          <w:b/>
        </w:rPr>
        <w:t>:</w:t>
      </w:r>
    </w:p>
    <w:p w:rsidR="004B485C" w:rsidRDefault="004B485C" w:rsidP="00094087">
      <w:pPr>
        <w:rPr>
          <w:b/>
        </w:rPr>
      </w:pPr>
    </w:p>
    <w:p w:rsidR="004B485C" w:rsidRDefault="004B485C" w:rsidP="00094087">
      <w:pPr>
        <w:rPr>
          <w:b/>
        </w:rPr>
      </w:pPr>
    </w:p>
    <w:p w:rsidR="004B485C" w:rsidRDefault="004B485C" w:rsidP="00094087">
      <w:pPr>
        <w:rPr>
          <w:b/>
        </w:rPr>
      </w:pPr>
    </w:p>
    <w:p w:rsidR="004B485C" w:rsidRDefault="004B485C" w:rsidP="00094087">
      <w:pPr>
        <w:rPr>
          <w:b/>
        </w:rPr>
      </w:pPr>
    </w:p>
    <w:p w:rsidR="004B485C" w:rsidRDefault="004B485C" w:rsidP="00094087">
      <w:pPr>
        <w:rPr>
          <w:b/>
        </w:rPr>
      </w:pPr>
    </w:p>
    <w:p w:rsidR="004B485C" w:rsidRPr="004B485C" w:rsidRDefault="004B485C" w:rsidP="00094087">
      <w:pPr>
        <w:rPr>
          <w:b/>
        </w:rPr>
      </w:pPr>
    </w:p>
    <w:p w:rsidR="004B485C" w:rsidRDefault="004B485C" w:rsidP="00094087">
      <w:pPr>
        <w:jc w:val="center"/>
        <w:rPr>
          <w:b/>
        </w:rPr>
        <w:sectPr w:rsidR="004B485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4039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268"/>
        <w:gridCol w:w="1417"/>
        <w:gridCol w:w="4405"/>
      </w:tblGrid>
      <w:tr w:rsidR="00EB5193" w:rsidRPr="00B01079" w:rsidTr="004B485C">
        <w:trPr>
          <w:jc w:val="center"/>
        </w:trPr>
        <w:tc>
          <w:tcPr>
            <w:tcW w:w="3114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lastRenderedPageBreak/>
              <w:t>Nombre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Tipo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Padre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>
              <w:rPr>
                <w:b/>
              </w:rPr>
              <w:t>Campo obligatorio</w:t>
            </w:r>
          </w:p>
        </w:tc>
        <w:tc>
          <w:tcPr>
            <w:tcW w:w="4405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Descripción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EB5193" w:rsidP="00094087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Petición hacia la pasarela de cl@ve.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ConnectionType</w:t>
            </w:r>
          </w:p>
        </w:tc>
        <w:tc>
          <w:tcPr>
            <w:tcW w:w="2268" w:type="dxa"/>
          </w:tcPr>
          <w:p w:rsidR="00EB5193" w:rsidRPr="00B01079" w:rsidRDefault="00EB5193" w:rsidP="00094087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417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Configuración de la conexión de la petición.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RequestType</w:t>
            </w:r>
          </w:p>
        </w:tc>
        <w:tc>
          <w:tcPr>
            <w:tcW w:w="2268" w:type="dxa"/>
          </w:tcPr>
          <w:p w:rsidR="00EB5193" w:rsidRPr="00B01079" w:rsidRDefault="00EB5193" w:rsidP="00094087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417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Configuración de la petición.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ProxyConfType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Configuración del proxy.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authenticationMutualType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Configuración de la autenticación mutua.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ost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Identificador del host.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ort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Identificador del puerto.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u</w:t>
            </w:r>
            <w:r w:rsidR="00EB5193" w:rsidRPr="00B01079">
              <w:rPr>
                <w:b/>
              </w:rPr>
              <w:t>ser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Identificador del usuario.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Identificador de la contraseña.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ath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Dirección del almacenamiento de las claves.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b</w:t>
            </w:r>
            <w:r w:rsidR="00EB5193" w:rsidRPr="00B01079">
              <w:rPr>
                <w:b/>
              </w:rPr>
              <w:t>ase64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Base64 del almacenamiento de las claves.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asswordKeystore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pPr>
              <w:rPr>
                <w:lang w:val="es-ES_tradnl"/>
              </w:rPr>
            </w:pPr>
            <w:r w:rsidRPr="00B01079">
              <w:t>Contraseña del almacenamiento de las claves.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t</w:t>
            </w:r>
            <w:r w:rsidR="00EB5193" w:rsidRPr="00B01079">
              <w:rPr>
                <w:b/>
              </w:rPr>
              <w:t>ypeKeystore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417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Tipo del almacenamiento de las claves.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httpRequest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httpRequestType</w:t>
            </w:r>
          </w:p>
        </w:tc>
        <w:tc>
          <w:tcPr>
            <w:tcW w:w="2268" w:type="dxa"/>
          </w:tcPr>
          <w:p w:rsidR="00EB5193" w:rsidRPr="00B01079" w:rsidRDefault="00083704" w:rsidP="00083704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 xml:space="preserve">Configuración de la </w:t>
            </w:r>
            <w:r w:rsidR="000A7C48" w:rsidRPr="00B01079">
              <w:t>petición</w:t>
            </w:r>
            <w:r w:rsidRPr="00B01079">
              <w:t xml:space="preserve"> http.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samlRequest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samlRequestType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Sí</w:t>
            </w:r>
          </w:p>
        </w:tc>
        <w:tc>
          <w:tcPr>
            <w:tcW w:w="4405" w:type="dxa"/>
          </w:tcPr>
          <w:p w:rsidR="00EB5193" w:rsidRPr="00B01079" w:rsidRDefault="00EB5193" w:rsidP="000A7C48">
            <w:r w:rsidRPr="00B01079">
              <w:t>Configuración de la petición Saml encapsulada en la p</w:t>
            </w:r>
            <w:r w:rsidR="000A7C48">
              <w:t>e</w:t>
            </w:r>
            <w:r w:rsidRPr="00B01079">
              <w:t>tición HTTP.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</w:p>
        </w:tc>
        <w:tc>
          <w:tcPr>
            <w:tcW w:w="2835" w:type="dxa"/>
          </w:tcPr>
          <w:p w:rsidR="00EB5193" w:rsidRPr="00083704" w:rsidRDefault="00083704" w:rsidP="00094087">
            <w:pPr>
              <w:rPr>
                <w:b/>
              </w:rPr>
            </w:pPr>
            <w:r w:rsidRPr="00083704">
              <w:rPr>
                <w:b/>
              </w:rPr>
              <w:t>ParamsType</w:t>
            </w:r>
          </w:p>
        </w:tc>
        <w:tc>
          <w:tcPr>
            <w:tcW w:w="2268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Configuración de los otros parámetros. Opcional.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 w:rsidR="00EB5193" w:rsidRPr="00B01079">
              <w:rPr>
                <w:b/>
              </w:rPr>
              <w:t>arams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083704">
              <w:rPr>
                <w:b/>
              </w:rPr>
              <w:t>ParamsType</w:t>
            </w:r>
          </w:p>
        </w:tc>
        <w:tc>
          <w:tcPr>
            <w:tcW w:w="2268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Configuración de los otros parámetros. Opcional.</w:t>
            </w:r>
          </w:p>
        </w:tc>
      </w:tr>
      <w:tr w:rsidR="00302CB0" w:rsidRPr="00B01079" w:rsidTr="004B485C">
        <w:trPr>
          <w:jc w:val="center"/>
        </w:trPr>
        <w:tc>
          <w:tcPr>
            <w:tcW w:w="3114" w:type="dxa"/>
          </w:tcPr>
          <w:p w:rsidR="00302CB0" w:rsidRDefault="00302CB0" w:rsidP="0009408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835" w:type="dxa"/>
          </w:tcPr>
          <w:p w:rsidR="00302CB0" w:rsidRPr="00302CB0" w:rsidRDefault="00302CB0" w:rsidP="00094087">
            <w:r w:rsidRPr="00302CB0">
              <w:t>String</w:t>
            </w:r>
          </w:p>
        </w:tc>
        <w:tc>
          <w:tcPr>
            <w:tcW w:w="2268" w:type="dxa"/>
          </w:tcPr>
          <w:p w:rsidR="00302CB0" w:rsidRPr="00B01079" w:rsidRDefault="00302CB0" w:rsidP="00083704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417" w:type="dxa"/>
          </w:tcPr>
          <w:p w:rsidR="00302CB0" w:rsidRDefault="00302CB0" w:rsidP="00094087">
            <w:r>
              <w:t>Si</w:t>
            </w:r>
          </w:p>
        </w:tc>
        <w:tc>
          <w:tcPr>
            <w:tcW w:w="4405" w:type="dxa"/>
          </w:tcPr>
          <w:p w:rsidR="00302CB0" w:rsidRPr="00B01079" w:rsidRDefault="0000198D" w:rsidP="00094087">
            <w:r w:rsidRPr="00B54FFB">
              <w:t>Lista de códigos HTTP esperados en la respuesta.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paramsType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Un parámetros de la relación de parámetros.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id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Identificador del parámetro.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value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Valor del parámetro.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assertionConsumerServiceURL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Dirección del servicio de confianza de la petición Saml.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SPApplication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Dirección destino de la petición Saml.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roviderName</w:t>
            </w:r>
          </w:p>
        </w:tc>
        <w:tc>
          <w:tcPr>
            <w:tcW w:w="2835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68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Nombre del proveedor de la petición Saml.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SPType</w:t>
            </w:r>
          </w:p>
        </w:tc>
        <w:tc>
          <w:tcPr>
            <w:tcW w:w="2835" w:type="dxa"/>
          </w:tcPr>
          <w:p w:rsidR="00EB5193" w:rsidRPr="00083704" w:rsidRDefault="00083704" w:rsidP="00094087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2268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Tipo del proveedor del servicio de la petición Saml.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835" w:type="dxa"/>
          </w:tcPr>
          <w:p w:rsidR="00EB5193" w:rsidRPr="00B01079" w:rsidRDefault="00083704" w:rsidP="00094087">
            <w:r w:rsidRPr="00B01079">
              <w:rPr>
                <w:b/>
              </w:rPr>
              <w:t>AttributesType</w:t>
            </w:r>
          </w:p>
        </w:tc>
        <w:tc>
          <w:tcPr>
            <w:tcW w:w="2268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Listado de atributos.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83704">
            <w:pPr>
              <w:rPr>
                <w:b/>
              </w:rPr>
            </w:pPr>
            <w:r>
              <w:rPr>
                <w:b/>
              </w:rPr>
              <w:t>a</w:t>
            </w:r>
            <w:r w:rsidR="00EB5193" w:rsidRPr="00B01079">
              <w:rPr>
                <w:b/>
              </w:rPr>
              <w:t>ttribute</w:t>
            </w:r>
          </w:p>
        </w:tc>
        <w:tc>
          <w:tcPr>
            <w:tcW w:w="2835" w:type="dxa"/>
          </w:tcPr>
          <w:p w:rsidR="00EB5193" w:rsidRPr="00083704" w:rsidRDefault="00083704" w:rsidP="00094087">
            <w:pPr>
              <w:rPr>
                <w:b/>
              </w:rPr>
            </w:pPr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</w:p>
        </w:tc>
        <w:tc>
          <w:tcPr>
            <w:tcW w:w="2268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417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4405" w:type="dxa"/>
          </w:tcPr>
          <w:p w:rsidR="00EB5193" w:rsidRPr="00B01079" w:rsidRDefault="00EB5193" w:rsidP="00094087">
            <w:r w:rsidRPr="00B01079">
              <w:t>Un atributo de la relación de atributos.</w:t>
            </w:r>
          </w:p>
        </w:tc>
      </w:tr>
      <w:tr w:rsidR="00EB5193" w:rsidRPr="00B01079" w:rsidTr="004B485C">
        <w:trPr>
          <w:jc w:val="center"/>
        </w:trPr>
        <w:tc>
          <w:tcPr>
            <w:tcW w:w="14039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>
            <w:pPr>
              <w:rPr>
                <w:b/>
              </w:rPr>
            </w:pP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083704" w:rsidP="00094087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10925" w:type="dxa"/>
            <w:gridSpan w:val="4"/>
          </w:tcPr>
          <w:p w:rsidR="00EB5193" w:rsidRPr="00B01079" w:rsidRDefault="00EB5193" w:rsidP="00094087">
            <w:r w:rsidRPr="00B01079">
              <w:t>public, private</w:t>
            </w:r>
          </w:p>
        </w:tc>
      </w:tr>
      <w:tr w:rsidR="00EB5193" w:rsidRPr="00B01079" w:rsidTr="004B485C">
        <w:trPr>
          <w:jc w:val="center"/>
        </w:trPr>
        <w:tc>
          <w:tcPr>
            <w:tcW w:w="3114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AttributeType</w:t>
            </w:r>
          </w:p>
        </w:tc>
        <w:tc>
          <w:tcPr>
            <w:tcW w:w="10925" w:type="dxa"/>
            <w:gridSpan w:val="4"/>
          </w:tcPr>
          <w:p w:rsidR="00EB5193" w:rsidRPr="00B01079" w:rsidRDefault="00EB5193" w:rsidP="00094087">
            <w:r w:rsidRPr="00B01079">
              <w:t>familyName, firstName, dateOfBirth, personIdentifier, legalName, legalPersonIdentifier</w:t>
            </w:r>
          </w:p>
        </w:tc>
      </w:tr>
    </w:tbl>
    <w:p w:rsidR="004B485C" w:rsidRDefault="004B485C" w:rsidP="00990FB1">
      <w:pPr>
        <w:sectPr w:rsidR="004B485C" w:rsidSect="004B485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90FB1" w:rsidRPr="00990FB1" w:rsidRDefault="00990FB1" w:rsidP="00990FB1"/>
    <w:p w:rsidR="00F0224B" w:rsidRDefault="00F0224B" w:rsidP="00A730B6">
      <w:pPr>
        <w:pStyle w:val="Ttulo2"/>
      </w:pPr>
      <w:bookmarkStart w:id="20" w:name="_Toc530486497"/>
      <w:r>
        <w:t>Componente clave-web</w:t>
      </w:r>
      <w:bookmarkEnd w:id="20"/>
    </w:p>
    <w:p w:rsidR="00F0224B" w:rsidRDefault="00F0224B" w:rsidP="00A730B6">
      <w:pPr>
        <w:pStyle w:val="Ttulo1"/>
      </w:pPr>
      <w:bookmarkStart w:id="21" w:name="_Toc530486498"/>
      <w:r>
        <w:t>Base de datos</w:t>
      </w:r>
      <w:bookmarkEnd w:id="21"/>
    </w:p>
    <w:p w:rsidR="007415C9" w:rsidRDefault="007415C9" w:rsidP="00A730B6">
      <w:pPr>
        <w:pStyle w:val="Ttulo2"/>
      </w:pPr>
      <w:bookmarkStart w:id="22" w:name="_Toc530486499"/>
      <w:r>
        <w:t>Esquema</w:t>
      </w:r>
      <w:bookmarkEnd w:id="22"/>
    </w:p>
    <w:p w:rsidR="009F30F0" w:rsidRPr="009F30F0" w:rsidRDefault="00C6572A" w:rsidP="009F30F0">
      <w:r>
        <w:t>Usaremos los establecidos en la herramienta Monitoriz@ base.</w:t>
      </w:r>
    </w:p>
    <w:p w:rsidR="007415C9" w:rsidRDefault="007415C9" w:rsidP="00A730B6">
      <w:pPr>
        <w:pStyle w:val="Ttulo2"/>
      </w:pPr>
      <w:bookmarkStart w:id="23" w:name="_Toc530486500"/>
      <w:r>
        <w:t>Tablas</w:t>
      </w:r>
      <w:bookmarkEnd w:id="23"/>
    </w:p>
    <w:p w:rsidR="00C6572A" w:rsidRPr="009F30F0" w:rsidRDefault="00C6572A" w:rsidP="00C6572A">
      <w:r>
        <w:t>Usaremos los establecidos en la herramienta Monitoriz@ base.</w:t>
      </w:r>
    </w:p>
    <w:p w:rsidR="007415C9" w:rsidRDefault="007415C9" w:rsidP="00A730B6">
      <w:pPr>
        <w:pStyle w:val="Ttulo2"/>
      </w:pPr>
      <w:bookmarkStart w:id="24" w:name="_Toc530486501"/>
      <w:r>
        <w:t>Secuencias</w:t>
      </w:r>
      <w:bookmarkEnd w:id="24"/>
    </w:p>
    <w:p w:rsidR="009F30F0" w:rsidRPr="009F30F0" w:rsidRDefault="00C6572A" w:rsidP="009F30F0">
      <w:r>
        <w:t>Usaremos los establecidos en la herramienta Monitoriz@ base.</w:t>
      </w:r>
    </w:p>
    <w:p w:rsidR="007415C9" w:rsidRDefault="005A7F73" w:rsidP="00A730B6">
      <w:pPr>
        <w:pStyle w:val="Ttulo2"/>
      </w:pPr>
      <w:bookmarkStart w:id="25" w:name="_Toc530486502"/>
      <w:r>
        <w:t>Carga inicial de datos</w:t>
      </w:r>
      <w:bookmarkEnd w:id="25"/>
    </w:p>
    <w:p w:rsidR="009F30F0" w:rsidRPr="009F30F0" w:rsidRDefault="00C6572A" w:rsidP="009F30F0">
      <w:r>
        <w:t>En este caso debemos añadir a lo ya introducido por la herramienta de Monitoriz@ base, un nuevo tipo de plataforma para su identificación.</w:t>
      </w:r>
    </w:p>
    <w:p w:rsidR="00F0224B" w:rsidRDefault="00F0224B" w:rsidP="00A730B6">
      <w:pPr>
        <w:pStyle w:val="Ttulo1"/>
      </w:pPr>
      <w:bookmarkStart w:id="26" w:name="_Toc530486503"/>
      <w:r>
        <w:t>Parámetros del sistema</w:t>
      </w:r>
      <w:bookmarkEnd w:id="26"/>
    </w:p>
    <w:p w:rsidR="007415C9" w:rsidRDefault="00990FB1" w:rsidP="00A730B6">
      <w:pPr>
        <w:pStyle w:val="Ttulo2"/>
      </w:pPr>
      <w:bookmarkStart w:id="27" w:name="_Toc530486504"/>
      <w:r>
        <w:t>Monitori</w:t>
      </w:r>
      <w:r w:rsidR="006C5D62">
        <w:t>z</w:t>
      </w:r>
      <w:r>
        <w:t>@</w:t>
      </w:r>
      <w:bookmarkEnd w:id="27"/>
    </w:p>
    <w:p w:rsidR="00F84609" w:rsidRDefault="00F84609" w:rsidP="00F84609">
      <w:r>
        <w:t>Los parámetros para configura</w:t>
      </w:r>
      <w:r w:rsidR="00245933">
        <w:t>r y utilizar la herramienta de M</w:t>
      </w:r>
      <w:r>
        <w:t>onitoriz@:</w:t>
      </w:r>
    </w:p>
    <w:p w:rsidR="00F84609" w:rsidRPr="00D46033" w:rsidRDefault="00D46033" w:rsidP="00D46033">
      <w:pPr>
        <w:pStyle w:val="Prrafodelista"/>
        <w:numPr>
          <w:ilvl w:val="0"/>
          <w:numId w:val="8"/>
        </w:numPr>
        <w:rPr>
          <w:b/>
        </w:rPr>
      </w:pPr>
      <w:r w:rsidRPr="00D46033">
        <w:t>Archivo</w:t>
      </w:r>
      <w:r>
        <w:rPr>
          <w:b/>
        </w:rPr>
        <w:t xml:space="preserve"> </w:t>
      </w:r>
      <w:r w:rsidRPr="00D46033">
        <w:rPr>
          <w:b/>
        </w:rPr>
        <w:t>sta</w:t>
      </w:r>
      <w:r>
        <w:rPr>
          <w:b/>
        </w:rPr>
        <w:t>ticMonitorizaConfig.properties</w:t>
      </w:r>
      <w:r>
        <w:t xml:space="preserve"> situado en la configuración del tomcat.</w:t>
      </w:r>
    </w:p>
    <w:p w:rsidR="004B485C" w:rsidRDefault="004B485C" w:rsidP="00F84609">
      <w:pPr>
        <w:jc w:val="center"/>
        <w:rPr>
          <w:b/>
        </w:rPr>
        <w:sectPr w:rsidR="004B485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5954"/>
        <w:gridCol w:w="4115"/>
      </w:tblGrid>
      <w:tr w:rsidR="00D46033" w:rsidRPr="00F84609" w:rsidTr="00EA5769">
        <w:trPr>
          <w:jc w:val="center"/>
        </w:trPr>
        <w:tc>
          <w:tcPr>
            <w:tcW w:w="4106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lastRenderedPageBreak/>
              <w:t>Parámetro</w:t>
            </w:r>
          </w:p>
        </w:tc>
        <w:tc>
          <w:tcPr>
            <w:tcW w:w="5954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Descripción</w:t>
            </w:r>
          </w:p>
        </w:tc>
        <w:tc>
          <w:tcPr>
            <w:tcW w:w="4115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Ejemplo</w:t>
            </w:r>
          </w:p>
        </w:tc>
      </w:tr>
      <w:tr w:rsidR="00D916FE" w:rsidRPr="00D916FE" w:rsidTr="00EA5769">
        <w:trPr>
          <w:jc w:val="center"/>
        </w:trPr>
        <w:tc>
          <w:tcPr>
            <w:tcW w:w="4106" w:type="dxa"/>
            <w:shd w:val="clear" w:color="auto" w:fill="auto"/>
          </w:tcPr>
          <w:p w:rsidR="00D916FE" w:rsidRPr="00D916FE" w:rsidRDefault="00D916FE" w:rsidP="00D916FE">
            <w:r w:rsidRPr="00D916FE">
              <w:t>aes.padding.alg</w:t>
            </w:r>
          </w:p>
        </w:tc>
        <w:tc>
          <w:tcPr>
            <w:tcW w:w="5954" w:type="dxa"/>
            <w:shd w:val="clear" w:color="auto" w:fill="auto"/>
          </w:tcPr>
          <w:p w:rsidR="00D916FE" w:rsidRPr="00D916FE" w:rsidRDefault="002D3770" w:rsidP="00D916FE">
            <w:r>
              <w:t>Padding del algoritmo</w:t>
            </w:r>
          </w:p>
        </w:tc>
        <w:tc>
          <w:tcPr>
            <w:tcW w:w="4115" w:type="dxa"/>
            <w:shd w:val="clear" w:color="auto" w:fill="auto"/>
          </w:tcPr>
          <w:p w:rsidR="00D916FE" w:rsidRPr="00D916FE" w:rsidRDefault="00D916FE" w:rsidP="00D916FE">
            <w:r w:rsidRPr="00D916FE">
              <w:t>AES/ECB/PKCS5Padding</w:t>
            </w:r>
          </w:p>
        </w:tc>
      </w:tr>
      <w:tr w:rsidR="00D916FE" w:rsidRPr="00D916FE" w:rsidTr="00EA5769">
        <w:trPr>
          <w:jc w:val="center"/>
        </w:trPr>
        <w:tc>
          <w:tcPr>
            <w:tcW w:w="4106" w:type="dxa"/>
            <w:shd w:val="clear" w:color="auto" w:fill="auto"/>
          </w:tcPr>
          <w:p w:rsidR="00D916FE" w:rsidRPr="00D916FE" w:rsidRDefault="00D916FE" w:rsidP="00D916FE">
            <w:r w:rsidRPr="00D916FE">
              <w:t>aes.algorithm</w:t>
            </w:r>
          </w:p>
        </w:tc>
        <w:tc>
          <w:tcPr>
            <w:tcW w:w="5954" w:type="dxa"/>
            <w:shd w:val="clear" w:color="auto" w:fill="auto"/>
          </w:tcPr>
          <w:p w:rsidR="00D916FE" w:rsidRPr="00D916FE" w:rsidRDefault="002D3770" w:rsidP="00D916FE">
            <w:r>
              <w:t>Nombre del algoritmo</w:t>
            </w:r>
          </w:p>
        </w:tc>
        <w:tc>
          <w:tcPr>
            <w:tcW w:w="4115" w:type="dxa"/>
            <w:shd w:val="clear" w:color="auto" w:fill="auto"/>
          </w:tcPr>
          <w:p w:rsidR="00D916FE" w:rsidRPr="00D916FE" w:rsidRDefault="00D916FE" w:rsidP="00D916FE">
            <w:r w:rsidRPr="00D916FE">
              <w:t>AES</w:t>
            </w:r>
          </w:p>
        </w:tc>
      </w:tr>
      <w:tr w:rsidR="00D916FE" w:rsidRPr="00D916FE" w:rsidTr="00EA5769">
        <w:trPr>
          <w:jc w:val="center"/>
        </w:trPr>
        <w:tc>
          <w:tcPr>
            <w:tcW w:w="4106" w:type="dxa"/>
            <w:shd w:val="clear" w:color="auto" w:fill="auto"/>
          </w:tcPr>
          <w:p w:rsidR="00D916FE" w:rsidRPr="00D916FE" w:rsidRDefault="00D916FE" w:rsidP="00D916FE">
            <w:r w:rsidRPr="00D916FE">
              <w:t>aes.password</w:t>
            </w:r>
          </w:p>
        </w:tc>
        <w:tc>
          <w:tcPr>
            <w:tcW w:w="5954" w:type="dxa"/>
            <w:shd w:val="clear" w:color="auto" w:fill="auto"/>
          </w:tcPr>
          <w:p w:rsidR="00D916FE" w:rsidRPr="00D916FE" w:rsidRDefault="002D3770" w:rsidP="00D916FE">
            <w:r>
              <w:t>Contraseña del algoritmo</w:t>
            </w:r>
          </w:p>
        </w:tc>
        <w:tc>
          <w:tcPr>
            <w:tcW w:w="4115" w:type="dxa"/>
            <w:shd w:val="clear" w:color="auto" w:fill="auto"/>
          </w:tcPr>
          <w:p w:rsidR="00D916FE" w:rsidRPr="00D916FE" w:rsidRDefault="00D916FE" w:rsidP="00D916FE">
            <w:r w:rsidRPr="00D916FE">
              <w:t>ABCDEFGHIJKLMNOP</w:t>
            </w:r>
          </w:p>
        </w:tc>
      </w:tr>
      <w:tr w:rsidR="00F84609" w:rsidTr="00EA5769">
        <w:trPr>
          <w:jc w:val="center"/>
        </w:trPr>
        <w:tc>
          <w:tcPr>
            <w:tcW w:w="4106" w:type="dxa"/>
          </w:tcPr>
          <w:p w:rsidR="00F84609" w:rsidRDefault="00D46033" w:rsidP="009F30F0">
            <w:r w:rsidRPr="00D46033">
              <w:t>directories.request.root.path</w:t>
            </w:r>
          </w:p>
        </w:tc>
        <w:tc>
          <w:tcPr>
            <w:tcW w:w="5954" w:type="dxa"/>
          </w:tcPr>
          <w:p w:rsidR="00F84609" w:rsidRDefault="00D46033" w:rsidP="009F30F0">
            <w:r w:rsidRPr="00D46033">
              <w:t>Ruta raíz donde se situarán los directorios con las peticiones de cada servicio.</w:t>
            </w:r>
          </w:p>
        </w:tc>
        <w:tc>
          <w:tcPr>
            <w:tcW w:w="4115" w:type="dxa"/>
          </w:tcPr>
          <w:p w:rsidR="00F84609" w:rsidRDefault="00D46033" w:rsidP="009F30F0">
            <w:r w:rsidRPr="00D46033">
              <w:t>C:\\Trabajo\\Software\\apache-tomcat-8.5.24-Monitoriza\\webapps\\ZIPs</w:t>
            </w:r>
          </w:p>
        </w:tc>
      </w:tr>
      <w:tr w:rsidR="00F84609" w:rsidTr="00EA5769">
        <w:trPr>
          <w:jc w:val="center"/>
        </w:trPr>
        <w:tc>
          <w:tcPr>
            <w:tcW w:w="4106" w:type="dxa"/>
          </w:tcPr>
          <w:p w:rsidR="00F84609" w:rsidRDefault="00D46033" w:rsidP="009F30F0">
            <w:r w:rsidRPr="00D46033">
              <w:t>directories.grupo.principal.path</w:t>
            </w:r>
          </w:p>
        </w:tc>
        <w:tc>
          <w:tcPr>
            <w:tcW w:w="5954" w:type="dxa"/>
          </w:tcPr>
          <w:p w:rsidR="00F84609" w:rsidRDefault="00D46033" w:rsidP="009F30F0">
            <w:r w:rsidRPr="00D46033">
              <w:t>Ruta donde se situarán las peticiones del grupo principal de un servicio.</w:t>
            </w:r>
          </w:p>
        </w:tc>
        <w:tc>
          <w:tcPr>
            <w:tcW w:w="4115" w:type="dxa"/>
          </w:tcPr>
          <w:p w:rsidR="00F84609" w:rsidRDefault="00D46033" w:rsidP="009F30F0">
            <w:r w:rsidRPr="00D46033">
              <w:t>\\grupoPrincipal</w:t>
            </w:r>
          </w:p>
        </w:tc>
      </w:tr>
      <w:tr w:rsidR="00F84609" w:rsidTr="00EA5769">
        <w:trPr>
          <w:jc w:val="center"/>
        </w:trPr>
        <w:tc>
          <w:tcPr>
            <w:tcW w:w="4106" w:type="dxa"/>
          </w:tcPr>
          <w:p w:rsidR="00F84609" w:rsidRDefault="00D46033" w:rsidP="009F30F0">
            <w:r w:rsidRPr="00D46033">
              <w:t>directories.grupo.confirmacion.path</w:t>
            </w:r>
          </w:p>
        </w:tc>
        <w:tc>
          <w:tcPr>
            <w:tcW w:w="5954" w:type="dxa"/>
          </w:tcPr>
          <w:p w:rsidR="00F84609" w:rsidRDefault="00D46033" w:rsidP="009F30F0">
            <w:r w:rsidRPr="00D46033">
              <w:t>Ruta donde se situarán las peticiones del grupo de confirmación x de un servicio.</w:t>
            </w:r>
          </w:p>
        </w:tc>
        <w:tc>
          <w:tcPr>
            <w:tcW w:w="4115" w:type="dxa"/>
          </w:tcPr>
          <w:p w:rsidR="00F84609" w:rsidRDefault="00D46033" w:rsidP="009F30F0">
            <w:r w:rsidRPr="00D46033">
              <w:t>\\grupoConfirmacion</w:t>
            </w:r>
          </w:p>
        </w:tc>
      </w:tr>
      <w:tr w:rsidR="00F84609" w:rsidTr="00EA5769">
        <w:trPr>
          <w:jc w:val="center"/>
        </w:trPr>
        <w:tc>
          <w:tcPr>
            <w:tcW w:w="4106" w:type="dxa"/>
          </w:tcPr>
          <w:p w:rsidR="00F84609" w:rsidRDefault="00D916FE" w:rsidP="009F30F0">
            <w:r w:rsidRPr="00D916FE">
              <w:t>requestThreadPoolSize</w:t>
            </w:r>
          </w:p>
        </w:tc>
        <w:tc>
          <w:tcPr>
            <w:tcW w:w="5954" w:type="dxa"/>
          </w:tcPr>
          <w:p w:rsidR="00F84609" w:rsidRDefault="00D916FE" w:rsidP="009F30F0">
            <w:r>
              <w:t>Tamaño del pool de</w:t>
            </w:r>
            <w:r w:rsidRPr="00D916FE">
              <w:t xml:space="preserve"> hilos para lanzar las peticiones</w:t>
            </w:r>
          </w:p>
        </w:tc>
        <w:tc>
          <w:tcPr>
            <w:tcW w:w="4115" w:type="dxa"/>
          </w:tcPr>
          <w:p w:rsidR="00F84609" w:rsidRDefault="00D916FE" w:rsidP="009F30F0">
            <w:r>
              <w:t>5</w:t>
            </w:r>
          </w:p>
        </w:tc>
      </w:tr>
      <w:tr w:rsidR="00D916FE" w:rsidTr="00EA5769">
        <w:trPr>
          <w:jc w:val="center"/>
        </w:trPr>
        <w:tc>
          <w:tcPr>
            <w:tcW w:w="4106" w:type="dxa"/>
          </w:tcPr>
          <w:p w:rsidR="00D916FE" w:rsidRPr="00D916FE" w:rsidRDefault="00D916FE" w:rsidP="009F30F0">
            <w:r w:rsidRPr="00D916FE">
              <w:t>alarm.active</w:t>
            </w:r>
          </w:p>
        </w:tc>
        <w:tc>
          <w:tcPr>
            <w:tcW w:w="5954" w:type="dxa"/>
          </w:tcPr>
          <w:p w:rsidR="00D916FE" w:rsidRDefault="00D916FE" w:rsidP="009F30F0"/>
        </w:tc>
        <w:tc>
          <w:tcPr>
            <w:tcW w:w="4115" w:type="dxa"/>
          </w:tcPr>
          <w:p w:rsidR="00D916FE" w:rsidRDefault="00D916FE" w:rsidP="009F30F0">
            <w:r>
              <w:t>false</w:t>
            </w:r>
          </w:p>
        </w:tc>
      </w:tr>
      <w:tr w:rsidR="00D916FE" w:rsidTr="00EA5769">
        <w:trPr>
          <w:jc w:val="center"/>
        </w:trPr>
        <w:tc>
          <w:tcPr>
            <w:tcW w:w="4106" w:type="dxa"/>
          </w:tcPr>
          <w:p w:rsidR="00D916FE" w:rsidRPr="00D916FE" w:rsidRDefault="00D916FE" w:rsidP="009F30F0">
            <w:r w:rsidRPr="00D916FE">
              <w:t>confirmation.wait.time</w:t>
            </w:r>
          </w:p>
        </w:tc>
        <w:tc>
          <w:tcPr>
            <w:tcW w:w="5954" w:type="dxa"/>
          </w:tcPr>
          <w:p w:rsidR="00D916FE" w:rsidRDefault="00D916FE" w:rsidP="009F30F0">
            <w:r w:rsidRPr="00D916FE">
              <w:t>Tiempo de espera para ejecutar siguiente grupo de confirmación (milisegundos)</w:t>
            </w:r>
          </w:p>
        </w:tc>
        <w:tc>
          <w:tcPr>
            <w:tcW w:w="4115" w:type="dxa"/>
          </w:tcPr>
          <w:p w:rsidR="00D916FE" w:rsidRDefault="00D916FE" w:rsidP="009F30F0">
            <w:r w:rsidRPr="00D916FE">
              <w:t>60000</w:t>
            </w:r>
          </w:p>
        </w:tc>
      </w:tr>
      <w:tr w:rsidR="00D916FE" w:rsidRPr="00302CB0" w:rsidTr="00EA5769">
        <w:trPr>
          <w:jc w:val="center"/>
        </w:trPr>
        <w:tc>
          <w:tcPr>
            <w:tcW w:w="4106" w:type="dxa"/>
          </w:tcPr>
          <w:p w:rsidR="00D916FE" w:rsidRPr="00D916FE" w:rsidRDefault="00D916FE" w:rsidP="009F30F0">
            <w:r w:rsidRPr="00D916FE">
              <w:t>character.specia</w:t>
            </w:r>
          </w:p>
        </w:tc>
        <w:tc>
          <w:tcPr>
            <w:tcW w:w="5954" w:type="dxa"/>
          </w:tcPr>
          <w:p w:rsidR="00D916FE" w:rsidRDefault="00D916FE" w:rsidP="009F30F0">
            <w:r w:rsidRPr="00D916FE">
              <w:t>Keystore</w:t>
            </w:r>
          </w:p>
        </w:tc>
        <w:tc>
          <w:tcPr>
            <w:tcW w:w="4115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/,^,*,\=,(,),&amp;,%,$,\u00B7,",\u00A1,\!,[,],{,},\u00E7,\u00C7,\u00BF,?,\u00AC,\#</w:t>
            </w:r>
          </w:p>
        </w:tc>
      </w:tr>
      <w:tr w:rsidR="00D916FE" w:rsidRPr="00D916FE" w:rsidTr="00EA5769">
        <w:trPr>
          <w:jc w:val="center"/>
        </w:trPr>
        <w:tc>
          <w:tcPr>
            <w:tcW w:w="4106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fixedRate.in.milliseconds</w:t>
            </w:r>
          </w:p>
        </w:tc>
        <w:tc>
          <w:tcPr>
            <w:tcW w:w="5954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Spring scheduled task</w:t>
            </w:r>
          </w:p>
        </w:tc>
        <w:tc>
          <w:tcPr>
            <w:tcW w:w="4115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60000</w:t>
            </w:r>
          </w:p>
        </w:tc>
      </w:tr>
      <w:tr w:rsidR="00D916FE" w:rsidRPr="00302CB0" w:rsidTr="00EA5769">
        <w:trPr>
          <w:jc w:val="center"/>
        </w:trPr>
        <w:tc>
          <w:tcPr>
            <w:tcW w:w="4106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monitoriza.vip.status.servlet</w:t>
            </w:r>
          </w:p>
        </w:tc>
        <w:tc>
          <w:tcPr>
            <w:tcW w:w="5954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VIP status servlet</w:t>
            </w:r>
          </w:p>
        </w:tc>
        <w:tc>
          <w:tcPr>
            <w:tcW w:w="4115" w:type="dxa"/>
          </w:tcPr>
          <w:p w:rsidR="00D916FE" w:rsidRPr="000A7C48" w:rsidRDefault="00D916FE" w:rsidP="009F30F0">
            <w:pPr>
              <w:rPr>
                <w:lang w:val="en-US"/>
              </w:rPr>
            </w:pPr>
            <w:r w:rsidRPr="000A7C48">
              <w:rPr>
                <w:lang w:val="en-US"/>
              </w:rPr>
              <w:t>http://localhost:8080/monitoriza-afirma-status-app/afirmaServicesStatus?admin=true</w:t>
            </w:r>
          </w:p>
        </w:tc>
      </w:tr>
      <w:tr w:rsidR="00D916FE" w:rsidRPr="00302CB0" w:rsidTr="00EA5769">
        <w:trPr>
          <w:jc w:val="center"/>
        </w:trPr>
        <w:tc>
          <w:tcPr>
            <w:tcW w:w="4106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monitoriza.spie.status.servlet</w:t>
            </w:r>
          </w:p>
        </w:tc>
        <w:tc>
          <w:tcPr>
            <w:tcW w:w="5954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SPIE status servlet</w:t>
            </w:r>
          </w:p>
        </w:tc>
        <w:tc>
          <w:tcPr>
            <w:tcW w:w="4115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http://localhost:8080/monitoriza-afirma-status-app/spieStatus</w:t>
            </w:r>
          </w:p>
        </w:tc>
      </w:tr>
      <w:tr w:rsidR="00C52BCA" w:rsidRPr="00C52BCA" w:rsidTr="00EA5769">
        <w:trPr>
          <w:jc w:val="center"/>
        </w:trPr>
        <w:tc>
          <w:tcPr>
            <w:tcW w:w="4106" w:type="dxa"/>
          </w:tcPr>
          <w:p w:rsidR="00C52BCA" w:rsidRPr="00C52BCA" w:rsidRDefault="00C52BCA" w:rsidP="009F30F0">
            <w:pPr>
              <w:rPr>
                <w:lang w:val="en-US"/>
              </w:rPr>
            </w:pPr>
            <w:r w:rsidRPr="00C52BCA">
              <w:rPr>
                <w:lang w:val="en-US"/>
              </w:rPr>
              <w:t>invoker.http.connect.timeout</w:t>
            </w:r>
          </w:p>
        </w:tc>
        <w:tc>
          <w:tcPr>
            <w:tcW w:w="5954" w:type="dxa"/>
          </w:tcPr>
          <w:p w:rsidR="00C52BCA" w:rsidRPr="00C52BCA" w:rsidRDefault="00C52BCA" w:rsidP="009F30F0">
            <w:r w:rsidRPr="00B01079">
              <w:t>Tiempo de conexión del servicio</w:t>
            </w:r>
          </w:p>
        </w:tc>
        <w:tc>
          <w:tcPr>
            <w:tcW w:w="4115" w:type="dxa"/>
          </w:tcPr>
          <w:p w:rsidR="00C52BCA" w:rsidRPr="00D916FE" w:rsidRDefault="00C52BCA" w:rsidP="009F30F0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C52BCA" w:rsidRPr="00C52BCA" w:rsidTr="00EA5769">
        <w:trPr>
          <w:jc w:val="center"/>
        </w:trPr>
        <w:tc>
          <w:tcPr>
            <w:tcW w:w="4106" w:type="dxa"/>
          </w:tcPr>
          <w:p w:rsidR="00C52BCA" w:rsidRPr="00302CB0" w:rsidRDefault="00C52BCA" w:rsidP="009F30F0">
            <w:r w:rsidRPr="00302CB0">
              <w:t>invoker.http.connection.request.timeout</w:t>
            </w:r>
          </w:p>
        </w:tc>
        <w:tc>
          <w:tcPr>
            <w:tcW w:w="5954" w:type="dxa"/>
          </w:tcPr>
          <w:p w:rsidR="00C52BCA" w:rsidRPr="00C52BCA" w:rsidRDefault="00C52BCA" w:rsidP="009F30F0">
            <w:r w:rsidRPr="00B01079">
              <w:t>Tiempo de conexión de</w:t>
            </w:r>
            <w:r>
              <w:t xml:space="preserve"> </w:t>
            </w:r>
            <w:r w:rsidRPr="00B01079">
              <w:t>l</w:t>
            </w:r>
            <w:r>
              <w:t>a petición del</w:t>
            </w:r>
            <w:r w:rsidRPr="00B01079">
              <w:t xml:space="preserve"> servicio</w:t>
            </w:r>
          </w:p>
        </w:tc>
        <w:tc>
          <w:tcPr>
            <w:tcW w:w="4115" w:type="dxa"/>
          </w:tcPr>
          <w:p w:rsidR="00C52BCA" w:rsidRPr="00D916FE" w:rsidRDefault="00C52BCA" w:rsidP="009F30F0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C52BCA" w:rsidRPr="00C52BCA" w:rsidTr="00EA5769">
        <w:trPr>
          <w:jc w:val="center"/>
        </w:trPr>
        <w:tc>
          <w:tcPr>
            <w:tcW w:w="4106" w:type="dxa"/>
          </w:tcPr>
          <w:p w:rsidR="00C52BCA" w:rsidRPr="00C52BCA" w:rsidRDefault="00C52BCA" w:rsidP="009F30F0">
            <w:pPr>
              <w:rPr>
                <w:lang w:val="en-US"/>
              </w:rPr>
            </w:pPr>
            <w:r w:rsidRPr="00C52BCA">
              <w:rPr>
                <w:lang w:val="en-US"/>
              </w:rPr>
              <w:t>invoker.http.socket.timeout</w:t>
            </w:r>
          </w:p>
        </w:tc>
        <w:tc>
          <w:tcPr>
            <w:tcW w:w="5954" w:type="dxa"/>
          </w:tcPr>
          <w:p w:rsidR="00C52BCA" w:rsidRPr="00C52BCA" w:rsidRDefault="00C52BCA" w:rsidP="009F30F0">
            <w:r w:rsidRPr="00B01079">
              <w:t>Tiempo de conexión del</w:t>
            </w:r>
            <w:r>
              <w:t xml:space="preserve"> socket del</w:t>
            </w:r>
            <w:r w:rsidRPr="00B01079">
              <w:t xml:space="preserve"> servicio</w:t>
            </w:r>
          </w:p>
        </w:tc>
        <w:tc>
          <w:tcPr>
            <w:tcW w:w="4115" w:type="dxa"/>
          </w:tcPr>
          <w:p w:rsidR="00C52BCA" w:rsidRPr="00D916FE" w:rsidRDefault="00C52BCA" w:rsidP="009F30F0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</w:tbl>
    <w:p w:rsidR="004B485C" w:rsidRDefault="004B485C" w:rsidP="009F30F0">
      <w:pPr>
        <w:rPr>
          <w:lang w:val="en-US"/>
        </w:rPr>
        <w:sectPr w:rsidR="004B485C" w:rsidSect="004B485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F30F0" w:rsidRPr="00D916FE" w:rsidRDefault="009F30F0" w:rsidP="009F30F0">
      <w:pPr>
        <w:rPr>
          <w:lang w:val="en-US"/>
        </w:rPr>
      </w:pPr>
    </w:p>
    <w:p w:rsidR="00990FB1" w:rsidRDefault="00990FB1" w:rsidP="00990FB1">
      <w:pPr>
        <w:pStyle w:val="Ttulo2"/>
      </w:pPr>
      <w:bookmarkStart w:id="28" w:name="_Toc530486505"/>
      <w:r>
        <w:t>SAMLEngine</w:t>
      </w:r>
      <w:bookmarkEnd w:id="28"/>
    </w:p>
    <w:p w:rsidR="002D3770" w:rsidRDefault="002D3770" w:rsidP="002D3770">
      <w:r>
        <w:t>Los parámetros estáticos para configurar las peticiones realizadas por los agentes de monitorización</w:t>
      </w:r>
      <w:r w:rsidR="00E534A2">
        <w:t xml:space="preserve">, todos los archivos están situados en el directorio </w:t>
      </w:r>
      <w:r w:rsidR="00E534A2">
        <w:rPr>
          <w:i/>
        </w:rPr>
        <w:t>config</w:t>
      </w:r>
      <w:r w:rsidR="00E534A2">
        <w:t>, los cuales se añaden en el despliegue de la herramienta</w:t>
      </w:r>
      <w:r>
        <w:t>:</w:t>
      </w:r>
    </w:p>
    <w:p w:rsidR="00E534A2" w:rsidRPr="00245933" w:rsidRDefault="00E534A2" w:rsidP="00E534A2">
      <w:pPr>
        <w:pStyle w:val="Prrafodelista"/>
        <w:numPr>
          <w:ilvl w:val="0"/>
          <w:numId w:val="8"/>
        </w:numPr>
      </w:pPr>
      <w:r w:rsidRPr="00E534A2">
        <w:t>Archivo</w:t>
      </w:r>
      <w:r>
        <w:rPr>
          <w:b/>
        </w:rPr>
        <w:t xml:space="preserve"> </w:t>
      </w:r>
      <w:r w:rsidRPr="00E534A2">
        <w:rPr>
          <w:b/>
        </w:rPr>
        <w:t>EncryptModule_Monitoriza.xml</w:t>
      </w:r>
      <w:r>
        <w:rPr>
          <w:b/>
        </w:rPr>
        <w:t>:</w:t>
      </w:r>
    </w:p>
    <w:p w:rsidR="00EA5769" w:rsidRDefault="00EA5769" w:rsidP="00D301E3">
      <w:pPr>
        <w:jc w:val="center"/>
        <w:rPr>
          <w:b/>
        </w:rPr>
        <w:sectPr w:rsidR="00EA57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4187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395"/>
        <w:gridCol w:w="6395"/>
      </w:tblGrid>
      <w:tr w:rsidR="00245933" w:rsidRPr="00245933" w:rsidTr="00EA5769">
        <w:trPr>
          <w:jc w:val="center"/>
        </w:trPr>
        <w:tc>
          <w:tcPr>
            <w:tcW w:w="3397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lastRenderedPageBreak/>
              <w:t>Parámetro</w:t>
            </w:r>
          </w:p>
        </w:tc>
        <w:tc>
          <w:tcPr>
            <w:tcW w:w="4395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t>Descripción</w:t>
            </w:r>
          </w:p>
        </w:tc>
        <w:tc>
          <w:tcPr>
            <w:tcW w:w="6395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t>Ejemplo</w:t>
            </w:r>
          </w:p>
        </w:tc>
      </w:tr>
      <w:tr w:rsidR="00752091" w:rsidTr="00EA5769">
        <w:trPr>
          <w:jc w:val="center"/>
        </w:trPr>
        <w:tc>
          <w:tcPr>
            <w:tcW w:w="3397" w:type="dxa"/>
          </w:tcPr>
          <w:p w:rsidR="00245933" w:rsidRDefault="00245933" w:rsidP="00D301E3">
            <w:r w:rsidRPr="00245933">
              <w:t>check_certificate_validity_period</w:t>
            </w:r>
          </w:p>
        </w:tc>
        <w:tc>
          <w:tcPr>
            <w:tcW w:w="4395" w:type="dxa"/>
          </w:tcPr>
          <w:p w:rsidR="00245933" w:rsidRDefault="00752091" w:rsidP="00D301E3">
            <w:r>
              <w:t>Validación del periodo del certificado</w:t>
            </w:r>
          </w:p>
        </w:tc>
        <w:tc>
          <w:tcPr>
            <w:tcW w:w="6395" w:type="dxa"/>
          </w:tcPr>
          <w:p w:rsidR="00245933" w:rsidRDefault="00245933" w:rsidP="00D301E3">
            <w:r>
              <w:t>false</w:t>
            </w:r>
          </w:p>
        </w:tc>
      </w:tr>
      <w:tr w:rsidR="00245933" w:rsidTr="00EA5769">
        <w:trPr>
          <w:jc w:val="center"/>
        </w:trPr>
        <w:tc>
          <w:tcPr>
            <w:tcW w:w="3397" w:type="dxa"/>
          </w:tcPr>
          <w:p w:rsidR="00245933" w:rsidRDefault="00245933" w:rsidP="00D301E3">
            <w:r w:rsidRPr="00245933">
              <w:t>disallow_self_signed_certificate</w:t>
            </w:r>
          </w:p>
        </w:tc>
        <w:tc>
          <w:tcPr>
            <w:tcW w:w="4395" w:type="dxa"/>
          </w:tcPr>
          <w:p w:rsidR="00245933" w:rsidRDefault="005D31FC" w:rsidP="00D301E3">
            <w:r>
              <w:t>R</w:t>
            </w:r>
            <w:r w:rsidRPr="005D31FC">
              <w:t>echazar certificado autofirmado</w:t>
            </w:r>
          </w:p>
        </w:tc>
        <w:tc>
          <w:tcPr>
            <w:tcW w:w="6395" w:type="dxa"/>
          </w:tcPr>
          <w:p w:rsidR="00245933" w:rsidRDefault="00245933" w:rsidP="00D301E3">
            <w:r>
              <w:t>false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signature.algorithm</w:t>
            </w:r>
          </w:p>
        </w:tc>
        <w:tc>
          <w:tcPr>
            <w:tcW w:w="4395" w:type="dxa"/>
          </w:tcPr>
          <w:p w:rsidR="00245933" w:rsidRPr="005D31FC" w:rsidRDefault="005D31FC" w:rsidP="005D31FC">
            <w:r>
              <w:t>Firma del algoritmo</w:t>
            </w:r>
          </w:p>
        </w:tc>
        <w:tc>
          <w:tcPr>
            <w:tcW w:w="6395" w:type="dxa"/>
          </w:tcPr>
          <w:p w:rsidR="00245933" w:rsidRPr="005D31FC" w:rsidRDefault="005D31FC" w:rsidP="00D301E3">
            <w:r w:rsidRPr="005D31FC">
              <w:t>http://www.w3.org/2001/04/xmldsig-more#rsa-sha512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signature.algorithm.whitelist</w:t>
            </w:r>
          </w:p>
        </w:tc>
        <w:tc>
          <w:tcPr>
            <w:tcW w:w="4395" w:type="dxa"/>
          </w:tcPr>
          <w:p w:rsidR="00245933" w:rsidRPr="005D31FC" w:rsidRDefault="005D31FC" w:rsidP="00D301E3">
            <w:r w:rsidRPr="005D31FC">
              <w:t>Lista de algoritmos de firma entrantes</w:t>
            </w:r>
            <w:r>
              <w:t xml:space="preserve"> de la</w:t>
            </w:r>
            <w:r w:rsidRPr="005D31FC">
              <w:t xml:space="preserve"> lista blanca separados por</w:t>
            </w:r>
            <w:r>
              <w:t xml:space="preserve"> </w:t>
            </w:r>
            <w:r w:rsidRPr="005D31FC">
              <w:t>;</w:t>
            </w:r>
          </w:p>
        </w:tc>
        <w:tc>
          <w:tcPr>
            <w:tcW w:w="6395" w:type="dxa"/>
          </w:tcPr>
          <w:p w:rsidR="00245933" w:rsidRPr="005D31FC" w:rsidRDefault="005D31FC" w:rsidP="00D301E3">
            <w:r w:rsidRPr="005D31FC">
              <w:t>http://www.w3.org/2001/04/xmldsig-more#rsa-sha256; http://www.w3.org/2001/04/xmldsig-more#rsa-sha384; http://www.w3.org/2001/04/xmldsig-more#rsa-sha512; http://www.w3.org/2001/04/xmldsig-more#rsa-ripemd160; http://www.w3.org/2001/04/xmldsig-more#ecdsa-sha256; http://www.w3.org/2001/04/xmldsig-more#ecdsa-sha384; http://www.w3.org/2001/04/xmldsig-more#ecdsa-sha512; http://www.w3.org/2007/05/xmldsig-more#sha256-rsa-MGF1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response.sign.assertions</w:t>
            </w:r>
          </w:p>
        </w:tc>
        <w:tc>
          <w:tcPr>
            <w:tcW w:w="4395" w:type="dxa"/>
          </w:tcPr>
          <w:p w:rsidR="00245933" w:rsidRPr="005D31FC" w:rsidRDefault="005D31FC" w:rsidP="00D301E3">
            <w:r>
              <w:t>A</w:t>
            </w:r>
            <w:r w:rsidRPr="005D31FC">
              <w:t>firmaciones de signo de respuesta</w:t>
            </w:r>
          </w:p>
        </w:tc>
        <w:tc>
          <w:tcPr>
            <w:tcW w:w="6395" w:type="dxa"/>
          </w:tcPr>
          <w:p w:rsidR="00245933" w:rsidRPr="005D31FC" w:rsidRDefault="005D31FC" w:rsidP="00D301E3">
            <w:r w:rsidRPr="005D31FC">
              <w:t>false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245933" w:rsidP="00D301E3">
            <w:r w:rsidRPr="005D31FC">
              <w:t>keyStorePath</w:t>
            </w:r>
          </w:p>
        </w:tc>
        <w:tc>
          <w:tcPr>
            <w:tcW w:w="4395" w:type="dxa"/>
          </w:tcPr>
          <w:p w:rsidR="00245933" w:rsidRPr="005D31FC" w:rsidRDefault="005D31FC" w:rsidP="00D301E3">
            <w:r>
              <w:t xml:space="preserve">Ruta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6395" w:type="dxa"/>
          </w:tcPr>
          <w:p w:rsidR="00245933" w:rsidRPr="005D31FC" w:rsidRDefault="00752091" w:rsidP="00D301E3">
            <w:r w:rsidRPr="005D31FC">
              <w:t>../KeyStore.jks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245933" w:rsidP="00D301E3">
            <w:r w:rsidRPr="005D31FC">
              <w:t>keyStorePassword</w:t>
            </w:r>
          </w:p>
        </w:tc>
        <w:tc>
          <w:tcPr>
            <w:tcW w:w="4395" w:type="dxa"/>
          </w:tcPr>
          <w:p w:rsidR="00245933" w:rsidRPr="005D31FC" w:rsidRDefault="005D31FC" w:rsidP="00D301E3">
            <w:r>
              <w:t xml:space="preserve">Contraseña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6395" w:type="dxa"/>
          </w:tcPr>
          <w:p w:rsidR="00245933" w:rsidRPr="005D31FC" w:rsidRDefault="00752091" w:rsidP="00D301E3">
            <w:r w:rsidRPr="005D31FC">
              <w:t>local-demo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245933" w:rsidP="00D301E3">
            <w:r w:rsidRPr="005D31FC">
              <w:t>keyPassword</w:t>
            </w:r>
          </w:p>
        </w:tc>
        <w:tc>
          <w:tcPr>
            <w:tcW w:w="4395" w:type="dxa"/>
          </w:tcPr>
          <w:p w:rsidR="00245933" w:rsidRPr="005D31FC" w:rsidRDefault="005D31FC" w:rsidP="00D301E3">
            <w:r>
              <w:t xml:space="preserve">Clave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6395" w:type="dxa"/>
          </w:tcPr>
          <w:p w:rsidR="00245933" w:rsidRPr="005D31FC" w:rsidRDefault="00752091" w:rsidP="00D301E3">
            <w:r w:rsidRPr="005D31FC">
              <w:t>local-demo</w:t>
            </w:r>
          </w:p>
        </w:tc>
      </w:tr>
      <w:tr w:rsidR="00245933" w:rsidRPr="00302CB0" w:rsidTr="00EA5769">
        <w:trPr>
          <w:jc w:val="center"/>
        </w:trPr>
        <w:tc>
          <w:tcPr>
            <w:tcW w:w="3397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issuer</w:t>
            </w:r>
          </w:p>
        </w:tc>
        <w:tc>
          <w:tcPr>
            <w:tcW w:w="4395" w:type="dxa"/>
          </w:tcPr>
          <w:p w:rsidR="00245933" w:rsidRPr="005D31FC" w:rsidRDefault="005D31FC" w:rsidP="00D301E3">
            <w:r>
              <w:t>Editor</w:t>
            </w:r>
          </w:p>
        </w:tc>
        <w:tc>
          <w:tcPr>
            <w:tcW w:w="6395" w:type="dxa"/>
          </w:tcPr>
          <w:p w:rsidR="00245933" w:rsidRPr="005D31FC" w:rsidRDefault="00752091" w:rsidP="00D301E3">
            <w:pPr>
              <w:rPr>
                <w:lang w:val="fr-FR"/>
              </w:rPr>
            </w:pPr>
            <w:r w:rsidRPr="005D31FC">
              <w:rPr>
                <w:lang w:val="fr-FR"/>
              </w:rPr>
              <w:t>CN=local-demo-cert, OU=DIGIT, O=European Comission, L=Brussels, ST=Spain, C=ES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245933" w:rsidP="00D301E3">
            <w:r w:rsidRPr="005D31FC">
              <w:t>serialNumber</w:t>
            </w:r>
          </w:p>
        </w:tc>
        <w:tc>
          <w:tcPr>
            <w:tcW w:w="4395" w:type="dxa"/>
          </w:tcPr>
          <w:p w:rsidR="00245933" w:rsidRPr="005D31FC" w:rsidRDefault="005D31FC" w:rsidP="00D301E3">
            <w:r>
              <w:t>Número de serie</w:t>
            </w:r>
          </w:p>
        </w:tc>
        <w:tc>
          <w:tcPr>
            <w:tcW w:w="6395" w:type="dxa"/>
          </w:tcPr>
          <w:p w:rsidR="00245933" w:rsidRPr="005D31FC" w:rsidRDefault="00752091" w:rsidP="00D301E3">
            <w:r w:rsidRPr="005D31FC">
              <w:t>58764336</w:t>
            </w:r>
          </w:p>
        </w:tc>
      </w:tr>
      <w:tr w:rsidR="00245933" w:rsidRPr="005D31FC" w:rsidTr="00EA5769">
        <w:trPr>
          <w:jc w:val="center"/>
        </w:trPr>
        <w:tc>
          <w:tcPr>
            <w:tcW w:w="3397" w:type="dxa"/>
          </w:tcPr>
          <w:p w:rsidR="00245933" w:rsidRPr="005D31FC" w:rsidRDefault="00245933" w:rsidP="00D301E3">
            <w:r w:rsidRPr="005D31FC">
              <w:t>keyStoreType</w:t>
            </w:r>
          </w:p>
        </w:tc>
        <w:tc>
          <w:tcPr>
            <w:tcW w:w="4395" w:type="dxa"/>
          </w:tcPr>
          <w:p w:rsidR="00245933" w:rsidRPr="005D31FC" w:rsidRDefault="005D31FC" w:rsidP="00D301E3">
            <w:r>
              <w:t xml:space="preserve">Tipo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6395" w:type="dxa"/>
          </w:tcPr>
          <w:p w:rsidR="00245933" w:rsidRPr="005D31FC" w:rsidRDefault="00752091" w:rsidP="00D301E3">
            <w:r w:rsidRPr="005D31FC">
              <w:t>JKS</w:t>
            </w:r>
          </w:p>
        </w:tc>
      </w:tr>
    </w:tbl>
    <w:p w:rsidR="00EA5769" w:rsidRDefault="00EA5769" w:rsidP="009941F1">
      <w:pPr>
        <w:sectPr w:rsidR="00EA5769" w:rsidSect="00EA576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29" w:name="_GoBack"/>
      <w:bookmarkEnd w:id="29"/>
    </w:p>
    <w:p w:rsidR="009941F1" w:rsidRPr="009941F1" w:rsidRDefault="009941F1" w:rsidP="009941F1">
      <w:pPr>
        <w:rPr>
          <w:b/>
        </w:rPr>
      </w:pPr>
    </w:p>
    <w:sectPr w:rsidR="009941F1" w:rsidRPr="0099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D0C" w:rsidRDefault="00556D0C" w:rsidP="00C52BCA">
      <w:pPr>
        <w:spacing w:after="0" w:line="240" w:lineRule="auto"/>
      </w:pPr>
      <w:r>
        <w:separator/>
      </w:r>
    </w:p>
  </w:endnote>
  <w:endnote w:type="continuationSeparator" w:id="0">
    <w:p w:rsidR="00556D0C" w:rsidRDefault="00556D0C" w:rsidP="00C5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HGKyokashotai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D0C" w:rsidRDefault="00556D0C" w:rsidP="00C52BCA">
      <w:pPr>
        <w:spacing w:after="0" w:line="240" w:lineRule="auto"/>
      </w:pPr>
      <w:r>
        <w:separator/>
      </w:r>
    </w:p>
  </w:footnote>
  <w:footnote w:type="continuationSeparator" w:id="0">
    <w:p w:rsidR="00556D0C" w:rsidRDefault="00556D0C" w:rsidP="00C5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8.75pt;height:8.75pt" o:bullet="t">
        <v:imagedata r:id="rId1" o:title="BD10268_"/>
      </v:shape>
    </w:pict>
  </w:numPicBullet>
  <w:numPicBullet w:numPicBulletId="1">
    <w:pict>
      <v:shape id="_x0000_i1147" type="#_x0000_t75" style="width:11.25pt;height:11.25pt" o:bullet="t">
        <v:imagedata r:id="rId2" o:title="BD14691_"/>
      </v:shape>
    </w:pict>
  </w:numPicBullet>
  <w:numPicBullet w:numPicBulletId="2">
    <w:pict>
      <v:shape id="_x0000_i1148" type="#_x0000_t75" style="width:8.75pt;height:8.75pt" o:bullet="t">
        <v:imagedata r:id="rId3" o:title="BD14515_"/>
      </v:shape>
    </w:pict>
  </w:numPicBullet>
  <w:numPicBullet w:numPicBulletId="3">
    <w:pict>
      <v:shape id="_x0000_i1149" type="#_x0000_t75" style="width:11.25pt;height:11.25pt" o:bullet="t">
        <v:imagedata r:id="rId4" o:title="BD14654_"/>
      </v:shape>
    </w:pict>
  </w:numPicBullet>
  <w:numPicBullet w:numPicBulletId="4">
    <w:pict>
      <v:shape id="_x0000_i1150" type="#_x0000_t75" style="width:8.75pt;height:8.75pt" o:bullet="t">
        <v:imagedata r:id="rId5" o:title="BD10268_"/>
      </v:shape>
    </w:pict>
  </w:numPicBullet>
  <w:abstractNum w:abstractNumId="0" w15:restartNumberingAfterBreak="0">
    <w:nsid w:val="235B0A64"/>
    <w:multiLevelType w:val="hybridMultilevel"/>
    <w:tmpl w:val="9F9244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1644"/>
    <w:multiLevelType w:val="hybridMultilevel"/>
    <w:tmpl w:val="DD405BAC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F07B03"/>
    <w:multiLevelType w:val="multilevel"/>
    <w:tmpl w:val="0F2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F1FD3"/>
    <w:multiLevelType w:val="multilevel"/>
    <w:tmpl w:val="28B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0CD9"/>
    <w:multiLevelType w:val="hybridMultilevel"/>
    <w:tmpl w:val="AB1CD766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014DA50">
      <w:start w:val="1"/>
      <w:numFmt w:val="bullet"/>
      <w:lvlText w:val=""/>
      <w:lvlPicBulletId w:val="3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6DD3"/>
    <w:multiLevelType w:val="hybridMultilevel"/>
    <w:tmpl w:val="2BC227C4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65626EB"/>
    <w:multiLevelType w:val="hybridMultilevel"/>
    <w:tmpl w:val="594E9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6E5"/>
    <w:multiLevelType w:val="hybridMultilevel"/>
    <w:tmpl w:val="78028A18"/>
    <w:lvl w:ilvl="0" w:tplc="805CEEA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3FD3"/>
    <w:multiLevelType w:val="multilevel"/>
    <w:tmpl w:val="663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C7911"/>
    <w:multiLevelType w:val="multilevel"/>
    <w:tmpl w:val="B3B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80BC6"/>
    <w:multiLevelType w:val="hybridMultilevel"/>
    <w:tmpl w:val="CBEA5AFC"/>
    <w:lvl w:ilvl="0" w:tplc="DE0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74F63"/>
    <w:multiLevelType w:val="hybridMultilevel"/>
    <w:tmpl w:val="D3CA8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9404D"/>
    <w:multiLevelType w:val="multilevel"/>
    <w:tmpl w:val="19C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7FB6"/>
    <w:multiLevelType w:val="hybridMultilevel"/>
    <w:tmpl w:val="53AC8334"/>
    <w:lvl w:ilvl="0" w:tplc="1812EE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B"/>
    <w:rsid w:val="0000198D"/>
    <w:rsid w:val="0003077C"/>
    <w:rsid w:val="0006365F"/>
    <w:rsid w:val="00083704"/>
    <w:rsid w:val="00094087"/>
    <w:rsid w:val="00096E2B"/>
    <w:rsid w:val="000A7C48"/>
    <w:rsid w:val="000B4B1E"/>
    <w:rsid w:val="00102C84"/>
    <w:rsid w:val="001108D6"/>
    <w:rsid w:val="00151C09"/>
    <w:rsid w:val="0018795B"/>
    <w:rsid w:val="001B76C3"/>
    <w:rsid w:val="001C690C"/>
    <w:rsid w:val="001E4DA2"/>
    <w:rsid w:val="001F43DD"/>
    <w:rsid w:val="001F4D33"/>
    <w:rsid w:val="00205A2D"/>
    <w:rsid w:val="00245933"/>
    <w:rsid w:val="00280924"/>
    <w:rsid w:val="002843FF"/>
    <w:rsid w:val="002A69F3"/>
    <w:rsid w:val="002D3770"/>
    <w:rsid w:val="00302CB0"/>
    <w:rsid w:val="00317872"/>
    <w:rsid w:val="003562B9"/>
    <w:rsid w:val="00465C18"/>
    <w:rsid w:val="004B485C"/>
    <w:rsid w:val="004B5D25"/>
    <w:rsid w:val="004C0CA3"/>
    <w:rsid w:val="004C4511"/>
    <w:rsid w:val="004D53DB"/>
    <w:rsid w:val="00523B37"/>
    <w:rsid w:val="00540D46"/>
    <w:rsid w:val="00556D0C"/>
    <w:rsid w:val="005A7F73"/>
    <w:rsid w:val="005B0229"/>
    <w:rsid w:val="005C206A"/>
    <w:rsid w:val="005D31FC"/>
    <w:rsid w:val="0061084E"/>
    <w:rsid w:val="00616DD5"/>
    <w:rsid w:val="006C5D62"/>
    <w:rsid w:val="006D5325"/>
    <w:rsid w:val="00706D4D"/>
    <w:rsid w:val="007415C9"/>
    <w:rsid w:val="00752091"/>
    <w:rsid w:val="007631BC"/>
    <w:rsid w:val="007656A9"/>
    <w:rsid w:val="00775D83"/>
    <w:rsid w:val="00777D0A"/>
    <w:rsid w:val="00846C90"/>
    <w:rsid w:val="008721BE"/>
    <w:rsid w:val="008964C0"/>
    <w:rsid w:val="008B33E0"/>
    <w:rsid w:val="00902EDF"/>
    <w:rsid w:val="00916D6B"/>
    <w:rsid w:val="00960B02"/>
    <w:rsid w:val="00962306"/>
    <w:rsid w:val="00990FB1"/>
    <w:rsid w:val="009941F1"/>
    <w:rsid w:val="009A2F8E"/>
    <w:rsid w:val="009F30F0"/>
    <w:rsid w:val="009F52D6"/>
    <w:rsid w:val="00A730B6"/>
    <w:rsid w:val="00AA4056"/>
    <w:rsid w:val="00AE5A47"/>
    <w:rsid w:val="00B02433"/>
    <w:rsid w:val="00B833D7"/>
    <w:rsid w:val="00BC23DC"/>
    <w:rsid w:val="00BD21A5"/>
    <w:rsid w:val="00C52BCA"/>
    <w:rsid w:val="00C6572A"/>
    <w:rsid w:val="00D301E3"/>
    <w:rsid w:val="00D46033"/>
    <w:rsid w:val="00D916FE"/>
    <w:rsid w:val="00DB187D"/>
    <w:rsid w:val="00E12C27"/>
    <w:rsid w:val="00E534A2"/>
    <w:rsid w:val="00EA5769"/>
    <w:rsid w:val="00EB5193"/>
    <w:rsid w:val="00EC0238"/>
    <w:rsid w:val="00EE31AA"/>
    <w:rsid w:val="00F0224B"/>
    <w:rsid w:val="00F63E5F"/>
    <w:rsid w:val="00F84609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87FB9"/>
  <w15:chartTrackingRefBased/>
  <w15:docId w15:val="{52712176-1CC4-4CE5-BB82-4018473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F022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3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estern">
    <w:name w:val="western"/>
    <w:basedOn w:val="Normal"/>
    <w:rsid w:val="00960B02"/>
    <w:pPr>
      <w:spacing w:before="100" w:beforeAutospacing="1" w:after="119" w:line="240" w:lineRule="auto"/>
      <w:jc w:val="both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5B0229"/>
  </w:style>
  <w:style w:type="table" w:customStyle="1" w:styleId="LightList-Accent12">
    <w:name w:val="Light List - Accent 12"/>
    <w:basedOn w:val="Tablanormal"/>
    <w:uiPriority w:val="61"/>
    <w:rsid w:val="005B0229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9A2F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A69F3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estern1">
    <w:name w:val="western1"/>
    <w:basedOn w:val="Normal"/>
    <w:rsid w:val="002A69F3"/>
    <w:pPr>
      <w:spacing w:before="100" w:beforeAutospacing="1"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A69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A69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2A69F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A69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69F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69F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69F3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A6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9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087"/>
  </w:style>
  <w:style w:type="paragraph" w:styleId="Piedepgina">
    <w:name w:val="footer"/>
    <w:basedOn w:val="Normal"/>
    <w:link w:val="Piedepgina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087"/>
  </w:style>
  <w:style w:type="paragraph" w:styleId="Tabladeilustraciones">
    <w:name w:val="table of figures"/>
    <w:basedOn w:val="Normal"/>
    <w:next w:val="Normal"/>
    <w:uiPriority w:val="99"/>
    <w:unhideWhenUsed/>
    <w:rsid w:val="001B76C3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4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9939-474C-4BD5-B07B-6080C527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5036</Words>
  <Characters>27703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32674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23</cp:revision>
  <dcterms:created xsi:type="dcterms:W3CDTF">2018-11-19T07:54:00Z</dcterms:created>
  <dcterms:modified xsi:type="dcterms:W3CDTF">2019-01-02T10:53:00Z</dcterms:modified>
</cp:coreProperties>
</file>