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282A9B85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826C30" w:rsidRPr="00826C30">
              <w:rPr>
                <w:rFonts w:cs="Verdana"/>
                <w:bCs/>
              </w:rPr>
              <w:t>03-04 Proyectos de I+D para Jóvenes Investigadores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6FDC2789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5D5ED9" w:rsidRPr="00826C30">
              <w:rPr>
                <w:rFonts w:cs="Verdana"/>
                <w:bCs/>
              </w:rPr>
              <w:t>03-04 Proyectos de I+D para Jóvenes Investigadores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3204262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2A08376E" w14:textId="60FE1716" w:rsidR="00085136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3204262" w:history="1">
            <w:r w:rsidR="00085136" w:rsidRPr="001B3DB5">
              <w:rPr>
                <w:rStyle w:val="Hipervnculo"/>
                <w:noProof/>
                <w:lang w:val="es-ES_tradnl"/>
              </w:rPr>
              <w:t>ÍNDICE</w:t>
            </w:r>
            <w:r w:rsidR="00085136">
              <w:rPr>
                <w:noProof/>
                <w:webHidden/>
              </w:rPr>
              <w:tab/>
            </w:r>
            <w:r w:rsidR="00085136">
              <w:rPr>
                <w:noProof/>
                <w:webHidden/>
              </w:rPr>
              <w:fldChar w:fldCharType="begin"/>
            </w:r>
            <w:r w:rsidR="00085136">
              <w:rPr>
                <w:noProof/>
                <w:webHidden/>
              </w:rPr>
              <w:instrText xml:space="preserve"> PAGEREF _Toc83204262 \h </w:instrText>
            </w:r>
            <w:r w:rsidR="00085136">
              <w:rPr>
                <w:noProof/>
                <w:webHidden/>
              </w:rPr>
            </w:r>
            <w:r w:rsidR="00085136">
              <w:rPr>
                <w:noProof/>
                <w:webHidden/>
              </w:rPr>
              <w:fldChar w:fldCharType="separate"/>
            </w:r>
            <w:r w:rsidR="00085136">
              <w:rPr>
                <w:noProof/>
                <w:webHidden/>
              </w:rPr>
              <w:t>3</w:t>
            </w:r>
            <w:r w:rsidR="00085136">
              <w:rPr>
                <w:noProof/>
                <w:webHidden/>
              </w:rPr>
              <w:fldChar w:fldCharType="end"/>
            </w:r>
          </w:hyperlink>
        </w:p>
        <w:p w14:paraId="1843475D" w14:textId="33362361" w:rsidR="00085136" w:rsidRDefault="0008513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204263" w:history="1">
            <w:r w:rsidRPr="001B3DB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1B3D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6A70" w14:textId="3143E9D4" w:rsidR="00085136" w:rsidRDefault="0008513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204264" w:history="1">
            <w:r w:rsidRPr="001B3DB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1B3DB5">
              <w:rPr>
                <w:rStyle w:val="Hipervnculo"/>
                <w:noProof/>
              </w:rPr>
              <w:t>ELEMENTOS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389C" w14:textId="523D3465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65" w:history="1">
            <w:r w:rsidRPr="001B3DB5">
              <w:rPr>
                <w:rStyle w:val="Hipervnculo"/>
                <w:noProof/>
              </w:rPr>
              <w:t>Actores</w:t>
            </w:r>
            <w:r>
              <w:rPr>
                <w:rStyle w:val="Hipervnculo"/>
                <w:noProof/>
              </w:rPr>
              <w:t xml:space="preserve"> 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7E0D" w14:textId="2A6722B5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66" w:history="1">
            <w:r w:rsidRPr="001B3DB5">
              <w:rPr>
                <w:rStyle w:val="Hipervnculo"/>
                <w:noProof/>
              </w:rPr>
              <w:t>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C090" w14:textId="7A088FAB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67" w:history="1">
            <w:r w:rsidRPr="001B3DB5">
              <w:rPr>
                <w:rStyle w:val="Hipervnculo"/>
                <w:noProof/>
              </w:rPr>
              <w:t>Tipos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60A8" w14:textId="7888BA1C" w:rsidR="00085136" w:rsidRDefault="0008513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204268" w:history="1">
            <w:r w:rsidRPr="001B3DB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1B3DB5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C8BF" w14:textId="50826429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69" w:history="1">
            <w:r w:rsidRPr="001B3DB5">
              <w:rPr>
                <w:rStyle w:val="Hipervnculo"/>
                <w:noProof/>
              </w:rPr>
              <w:t>Periodo presentación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3EAC" w14:textId="558972F4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70" w:history="1">
            <w:r w:rsidRPr="001B3DB5">
              <w:rPr>
                <w:rStyle w:val="Hipervnculo"/>
                <w:noProof/>
              </w:rPr>
              <w:t>1er.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2CEA" w14:textId="2855D780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71" w:history="1">
            <w:r w:rsidRPr="001B3DB5">
              <w:rPr>
                <w:rStyle w:val="Hipervnculo"/>
                <w:noProof/>
              </w:rPr>
              <w:t>Periodo de recepción de subsanaciones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0472" w14:textId="353CBEE5" w:rsidR="00085136" w:rsidRDefault="0008513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204272" w:history="1">
            <w:r w:rsidRPr="001B3DB5">
              <w:rPr>
                <w:rStyle w:val="Hipervnculo"/>
                <w:noProof/>
              </w:rPr>
              <w:t>2do. Periodo revisión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516C" w14:textId="168BD2B2" w:rsidR="00085136" w:rsidRDefault="0008513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204273" w:history="1">
            <w:r w:rsidRPr="001B3DB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Pr="001B3DB5">
              <w:rPr>
                <w:rStyle w:val="Hipervnculo"/>
                <w:noProof/>
              </w:rPr>
              <w:t>ESQUEMA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CB7F" w14:textId="3749ECA5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2" w:name="_Toc83204263"/>
      <w:r w:rsidRPr="005865F0">
        <w:lastRenderedPageBreak/>
        <w:t>INTRODUCCIÓN</w:t>
      </w:r>
      <w:bookmarkEnd w:id="2"/>
    </w:p>
    <w:p w14:paraId="108BD4FA" w14:textId="412CDDC5" w:rsidR="0062715C" w:rsidRDefault="00826C30" w:rsidP="00781C9E">
      <w:pPr>
        <w:spacing w:before="240" w:line="360" w:lineRule="auto"/>
      </w:pPr>
      <w:r w:rsidRPr="00826C30">
        <w:t>A través de este procedimiento el personal investigador al servicio de la Universidad Autónoma de Madrid, podrá solicitar ayudas para realizar proyectos de I+D a cargo de jóvenes investigadores.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3" w:name="_Toc83204264"/>
      <w:r>
        <w:lastRenderedPageBreak/>
        <w:t>ELEMENTOS</w:t>
      </w:r>
      <w:r w:rsidR="004C786F">
        <w:t xml:space="preserve"> DEL PROCEDIMIENTO</w:t>
      </w:r>
      <w:bookmarkEnd w:id="3"/>
    </w:p>
    <w:p w14:paraId="25A4F8F5" w14:textId="2CF0EE8D" w:rsidR="0062715C" w:rsidRPr="004C786F" w:rsidRDefault="004C786F" w:rsidP="00CD5249">
      <w:pPr>
        <w:pStyle w:val="Ttulo2"/>
      </w:pPr>
      <w:bookmarkStart w:id="4" w:name="_Toc83204265"/>
      <w:r w:rsidRPr="004C786F">
        <w:t>Actores</w:t>
      </w:r>
      <w:bookmarkEnd w:id="4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201A03DF" w14:textId="000190AA" w:rsidR="00582325" w:rsidRDefault="00CD5249" w:rsidP="00582325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582325">
        <w:t>Investigadores contratados por la Universidad Autónoma de Madrid, que cumplan las condiciones siguientes:</w:t>
      </w:r>
    </w:p>
    <w:p w14:paraId="21135615" w14:textId="77777777" w:rsidR="00582325" w:rsidRDefault="00582325" w:rsidP="00582325">
      <w:pPr>
        <w:pStyle w:val="Prrafodelista"/>
        <w:numPr>
          <w:ilvl w:val="1"/>
          <w:numId w:val="28"/>
        </w:numPr>
        <w:spacing w:before="240" w:line="360" w:lineRule="auto"/>
      </w:pPr>
      <w:r>
        <w:t>Ser personal docente e investigador en activo de la Universidad Autónoma de Madrid, con contrato en vigor o compromiso de contratación hasta la finalización de estas ayudas.</w:t>
      </w:r>
    </w:p>
    <w:p w14:paraId="7DDA35D2" w14:textId="77777777" w:rsidR="00582325" w:rsidRDefault="00582325" w:rsidP="00582325">
      <w:pPr>
        <w:pStyle w:val="Prrafodelista"/>
        <w:numPr>
          <w:ilvl w:val="1"/>
          <w:numId w:val="28"/>
        </w:numPr>
        <w:spacing w:before="240" w:line="360" w:lineRule="auto"/>
      </w:pPr>
      <w:r>
        <w:t>Ser Doctor que haya defendido su primera tesis doctoral con posterioridad al 1 de enero de 2009.</w:t>
      </w:r>
    </w:p>
    <w:p w14:paraId="679E9B41" w14:textId="43FF859E" w:rsidR="00CD5249" w:rsidRDefault="00582325" w:rsidP="00582325">
      <w:pPr>
        <w:pStyle w:val="Prrafodelista"/>
        <w:spacing w:before="240" w:line="360" w:lineRule="auto"/>
      </w:pPr>
      <w:r>
        <w:t>Quedan explícitamente excluidos de estas ayudas los contratados con cargo a proyectos de investigación</w:t>
      </w:r>
      <w:r w:rsidR="00EC066C" w:rsidRPr="00EC066C">
        <w:t>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5" w:name="_Toc83204266"/>
      <w:r w:rsidRPr="004301F8">
        <w:t>Sistemas</w:t>
      </w:r>
      <w:r>
        <w:t xml:space="preserve"> externos</w:t>
      </w:r>
      <w:bookmarkEnd w:id="5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lastRenderedPageBreak/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6" w:name="_Toc83204267"/>
      <w:r>
        <w:t>Tipos de Inicio</w:t>
      </w:r>
      <w:bookmarkEnd w:id="6"/>
    </w:p>
    <w:p w14:paraId="3A14F7C6" w14:textId="15938689" w:rsidR="00CD5249" w:rsidRDefault="00CD5249" w:rsidP="00582325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582325" w:rsidRPr="00582325">
        <w:rPr>
          <w:rStyle w:val="Hipervnculo"/>
        </w:rPr>
        <w:t>https://sede.uam.es/sede/jovenesinvestigadores</w:t>
      </w:r>
      <w:r w:rsidR="002B4B73" w:rsidRPr="00582325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3204268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8" w:name="_Toc83204269"/>
      <w:r w:rsidRPr="00E2740F">
        <w:t>Periodo presentación solicitudes</w:t>
      </w:r>
      <w:bookmarkEnd w:id="8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2017B172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B2380F" w:rsidRPr="00B2380F">
        <w:rPr>
          <w:b/>
          <w:bCs/>
        </w:rPr>
        <w:t>Proyectos de I+D para Jóvenes Investigadores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4F593775" w:rsidR="00A0091E" w:rsidRDefault="00B2380F" w:rsidP="00826E8B">
      <w:pPr>
        <w:pStyle w:val="Prrafodelista"/>
        <w:numPr>
          <w:ilvl w:val="0"/>
          <w:numId w:val="22"/>
        </w:numPr>
        <w:spacing w:before="240" w:line="360" w:lineRule="auto"/>
      </w:pPr>
      <w:r w:rsidRPr="00B2380F">
        <w:t>Título del proyecto</w:t>
      </w:r>
      <w:r>
        <w:t xml:space="preserve">, </w:t>
      </w:r>
      <w:r w:rsidRPr="00B2380F">
        <w:t>Departamento al que se adscribe</w:t>
      </w:r>
      <w:r>
        <w:t>, Área de conocimiento, Centro, Duración del proyecto y Presupuesto solicitado</w:t>
      </w:r>
      <w:r w:rsidR="00A0091E">
        <w:t>.</w:t>
      </w:r>
    </w:p>
    <w:p w14:paraId="3D63E805" w14:textId="455D6256" w:rsidR="00A0091E" w:rsidRDefault="00B2380F" w:rsidP="00B2380F">
      <w:pPr>
        <w:pStyle w:val="Prrafodelista"/>
        <w:numPr>
          <w:ilvl w:val="0"/>
          <w:numId w:val="22"/>
        </w:numPr>
        <w:spacing w:before="240" w:line="360" w:lineRule="auto"/>
      </w:pPr>
      <w:r>
        <w:t>C</w:t>
      </w:r>
      <w:r w:rsidRPr="00B2380F">
        <w:t>ómo espera que este proyecto contribuya a fomentar o afianzar su liderazgo al frente de una línea de investigación propia dentro de la UAM</w:t>
      </w:r>
      <w:r w:rsidR="00A0091E">
        <w:t>.</w:t>
      </w:r>
    </w:p>
    <w:p w14:paraId="36141A26" w14:textId="7FCF9643" w:rsidR="00A0091E" w:rsidRDefault="00AD414D" w:rsidP="00A0091E">
      <w:pPr>
        <w:spacing w:before="240" w:line="360" w:lineRule="auto"/>
      </w:pPr>
      <w:r>
        <w:lastRenderedPageBreak/>
        <w:t xml:space="preserve">Además de otros datos no obligatorios. Estos serían </w:t>
      </w:r>
      <w:r w:rsidR="00544C20">
        <w:t>relacionados</w:t>
      </w:r>
      <w:r>
        <w:t xml:space="preserve"> a </w:t>
      </w:r>
      <w:r w:rsidR="00B2380F" w:rsidRPr="00B2380F">
        <w:t>fecha lectura tesis</w:t>
      </w:r>
      <w:r w:rsidR="00B2380F">
        <w:t xml:space="preserve">, </w:t>
      </w:r>
      <w:r w:rsidR="00B2380F" w:rsidRPr="00B2380F">
        <w:t>Investigador Principal 2</w:t>
      </w:r>
      <w:r w:rsidR="00B2380F">
        <w:t xml:space="preserve"> (</w:t>
      </w:r>
      <w:r w:rsidR="00B2380F" w:rsidRPr="00B2380F">
        <w:t>correo electrónico</w:t>
      </w:r>
      <w:r w:rsidR="00B2380F">
        <w:t xml:space="preserve"> y </w:t>
      </w:r>
      <w:r w:rsidR="00B2380F" w:rsidRPr="00B2380F">
        <w:t>fecha lectura tesis</w:t>
      </w:r>
      <w:r w:rsidR="00B2380F">
        <w:t>)</w:t>
      </w:r>
      <w:r>
        <w:t>.</w:t>
      </w:r>
    </w:p>
    <w:p w14:paraId="59C48325" w14:textId="6F17B4E6" w:rsidR="00B2380F" w:rsidRDefault="00B2380F" w:rsidP="00A0091E">
      <w:pPr>
        <w:spacing w:before="240" w:line="360" w:lineRule="auto"/>
      </w:pPr>
      <w:proofErr w:type="gramStart"/>
      <w:r>
        <w:t>Además</w:t>
      </w:r>
      <w:proofErr w:type="gramEnd"/>
      <w:r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9" w:name="_Toc83204270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4A3CB801" w14:textId="77777777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el documento de Programa Científico</w:t>
      </w:r>
      <w:r>
        <w:rPr>
          <w:lang w:val="es-ES_tradnl" w:eastAsia="ar-SA"/>
        </w:rPr>
        <w:t>.</w:t>
      </w:r>
    </w:p>
    <w:p w14:paraId="1063F59B" w14:textId="6BBBE6FD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el documento del Plan de Difusión</w:t>
      </w:r>
      <w:r>
        <w:rPr>
          <w:lang w:val="es-ES_tradnl" w:eastAsia="ar-SA"/>
        </w:rPr>
        <w:t>.</w:t>
      </w:r>
    </w:p>
    <w:p w14:paraId="4E54D245" w14:textId="114E0DC4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el CV</w:t>
      </w:r>
      <w:r>
        <w:rPr>
          <w:lang w:val="es-ES_tradnl" w:eastAsia="ar-SA"/>
        </w:rPr>
        <w:t xml:space="preserve"> del investigador principal.</w:t>
      </w:r>
    </w:p>
    <w:p w14:paraId="503C9A28" w14:textId="6FD44EEB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el título de doctor</w:t>
      </w:r>
      <w:r>
        <w:rPr>
          <w:lang w:val="es-ES_tradnl" w:eastAsia="ar-SA"/>
        </w:rPr>
        <w:t xml:space="preserve"> del investigador principal.</w:t>
      </w:r>
    </w:p>
    <w:p w14:paraId="5AC02220" w14:textId="076FDBEA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</w:t>
      </w:r>
      <w:r>
        <w:rPr>
          <w:lang w:val="es-ES_tradnl" w:eastAsia="ar-SA"/>
        </w:rPr>
        <w:t>l documento de Otras Ayudas.</w:t>
      </w:r>
      <w:r w:rsidRPr="00B2380F">
        <w:rPr>
          <w:lang w:val="es-ES_tradnl" w:eastAsia="ar-SA"/>
        </w:rPr>
        <w:t xml:space="preserve"> </w:t>
      </w:r>
    </w:p>
    <w:p w14:paraId="475FACC7" w14:textId="2A13F58E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3204271"/>
      <w:r w:rsidRPr="00E2740F">
        <w:lastRenderedPageBreak/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1" w:name="_Toc83204272"/>
      <w:r w:rsidRPr="00E2740F">
        <w:t>2do. Periodo revisión de solicitudes</w:t>
      </w:r>
      <w:bookmarkEnd w:id="11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2" w:name="_Toc83204273"/>
      <w:r>
        <w:lastRenderedPageBreak/>
        <w:t>ESQUEMA DEL PROCEDIMIENTO</w:t>
      </w:r>
      <w:bookmarkStart w:id="13" w:name="PROCEDIMIENTO_DE_RECLAMACION"/>
      <w:bookmarkEnd w:id="12"/>
    </w:p>
    <w:bookmarkEnd w:id="13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5F3884E3">
            <wp:simplePos x="0" y="0"/>
            <wp:positionH relativeFrom="page">
              <wp:posOffset>1204375</wp:posOffset>
            </wp:positionH>
            <wp:positionV relativeFrom="paragraph">
              <wp:posOffset>1181100</wp:posOffset>
            </wp:positionV>
            <wp:extent cx="8371010" cy="3178810"/>
            <wp:effectExtent l="0" t="0" r="0" b="254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0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1A9CE" w14:textId="77777777" w:rsidR="00011477" w:rsidRDefault="00011477" w:rsidP="00C502BE">
      <w:pPr>
        <w:spacing w:after="0" w:line="240" w:lineRule="auto"/>
      </w:pPr>
      <w:r>
        <w:separator/>
      </w:r>
    </w:p>
  </w:endnote>
  <w:endnote w:type="continuationSeparator" w:id="0">
    <w:p w14:paraId="4874AE61" w14:textId="77777777" w:rsidR="00011477" w:rsidRDefault="00011477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6DF7873D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085136">
      <w:rPr>
        <w:rFonts w:ascii="Helvetica" w:hAnsi="Helvetica" w:cs="Helvetica"/>
        <w:bCs/>
        <w:noProof/>
        <w:sz w:val="20"/>
        <w:szCs w:val="20"/>
      </w:rPr>
      <w:t>4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826C30" w:rsidRPr="00826C30">
      <w:rPr>
        <w:rFonts w:ascii="Helvetica" w:hAnsi="Helvetica"/>
        <w:bCs/>
        <w:color w:val="0077C8"/>
        <w:sz w:val="18"/>
        <w:szCs w:val="18"/>
      </w:rPr>
      <w:t>03-04 Proyectos de I+D para Jóvenes Investigadores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1B85C123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085136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10CC1" w14:textId="77777777" w:rsidR="00011477" w:rsidRDefault="00011477" w:rsidP="00C502BE">
      <w:pPr>
        <w:spacing w:after="0" w:line="240" w:lineRule="auto"/>
      </w:pPr>
      <w:r>
        <w:separator/>
      </w:r>
    </w:p>
  </w:footnote>
  <w:footnote w:type="continuationSeparator" w:id="0">
    <w:p w14:paraId="5DC686AF" w14:textId="77777777" w:rsidR="00011477" w:rsidRDefault="00011477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1477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136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5ED9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364F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DA16-7378-4C78-A299-0B9B39CE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7954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2021-09-22T09:57:00Z</dcterms:modified>
</cp:coreProperties>
</file>