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74C6CA92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0F4DB2" w:rsidRPr="000F4DB2">
              <w:rPr>
                <w:rFonts w:cs="Verdana"/>
                <w:bCs/>
              </w:rPr>
              <w:t>07-04 Personal de Apoyo a Tribunales de EVAU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6F24DDA5" w:rsidR="00FB4249" w:rsidRPr="00786BC1" w:rsidRDefault="001B1CFE" w:rsidP="001B1CFE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</w:t>
            </w:r>
            <w:r>
              <w:rPr>
                <w:rFonts w:eastAsia="Times New Roman" w:cs="Verdana"/>
                <w:color w:val="000000"/>
                <w:lang w:eastAsia="zh-CN"/>
              </w:rPr>
              <w:t>12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EC066C">
              <w:rPr>
                <w:rFonts w:eastAsia="Times New Roman" w:cs="Verdana"/>
                <w:color w:val="000000"/>
                <w:lang w:eastAsia="zh-CN"/>
              </w:rPr>
              <w:t>19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0E783A79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0F4DB2" w:rsidRPr="000F4DB2">
              <w:t>07-04 Personal de Apoyo a Tribunales de EVAU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5DEFED76" w:rsidR="006A5DBE" w:rsidRDefault="001B1CFE" w:rsidP="001B1CFE">
            <w:pPr>
              <w:spacing w:after="0" w:line="480" w:lineRule="auto"/>
            </w:pPr>
            <w:r>
              <w:t>19</w:t>
            </w:r>
            <w:r w:rsidR="00D67449">
              <w:t>/</w:t>
            </w:r>
            <w:r>
              <w:t>12</w:t>
            </w:r>
            <w:r w:rsidR="00D67449">
              <w:t>/20</w:t>
            </w:r>
            <w:r w:rsidR="00EC066C">
              <w:t>19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4AA566BB" w:rsidR="00AE44F1" w:rsidRDefault="001B1CFE" w:rsidP="00167F5B">
            <w:pPr>
              <w:spacing w:after="0" w:line="480" w:lineRule="auto"/>
            </w:pPr>
            <w:r>
              <w:t>19/12</w:t>
            </w:r>
            <w:r w:rsidR="00EC066C">
              <w:t>/2019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767EA8C7" w:rsidR="00AA58DC" w:rsidRDefault="001B1CFE" w:rsidP="001B1CFE">
            <w:pPr>
              <w:spacing w:after="0" w:line="480" w:lineRule="auto"/>
              <w:jc w:val="center"/>
            </w:pPr>
            <w:r>
              <w:t>19</w:t>
            </w:r>
            <w:r w:rsidR="00AA58DC">
              <w:t>/</w:t>
            </w:r>
            <w:r>
              <w:t>12</w:t>
            </w:r>
            <w:r w:rsidR="00AA58DC">
              <w:t>/20</w:t>
            </w:r>
            <w:r w:rsidR="00EC066C">
              <w:t>19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504924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45E2E770" w14:textId="70BFE76F" w:rsidR="00014474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504924" w:history="1">
            <w:r w:rsidR="00014474" w:rsidRPr="00BF0032">
              <w:rPr>
                <w:rStyle w:val="Hipervnculo"/>
                <w:noProof/>
                <w:lang w:val="es-ES_tradnl"/>
              </w:rPr>
              <w:t>ÍNDICE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_Toc81504924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3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CD57DA5" w14:textId="333100FA" w:rsidR="00014474" w:rsidRDefault="00A410E4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25" w:history="1">
            <w:r w:rsidR="00014474" w:rsidRPr="00BF0032">
              <w:rPr>
                <w:rStyle w:val="Hipervnculo"/>
                <w:noProof/>
              </w:rPr>
              <w:t>1.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INTRODUCCIÓN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_Toc81504925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4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1541E123" w14:textId="108464A7" w:rsidR="00014474" w:rsidRDefault="00A410E4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26" w:history="1">
            <w:r w:rsidR="00014474" w:rsidRPr="00BF0032">
              <w:rPr>
                <w:rStyle w:val="Hipervnculo"/>
                <w:noProof/>
              </w:rPr>
              <w:t>2.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ELEMENTOS DEL PROCEDIMIENTO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_Toc81504926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5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1B66A60D" w14:textId="3D89C607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27" w:history="1">
            <w:r w:rsidR="00014474" w:rsidRPr="00BF0032">
              <w:rPr>
                <w:rStyle w:val="Hipervnculo"/>
                <w:noProof/>
              </w:rPr>
              <w:t>Actores</w:t>
            </w:r>
            <w:r w:rsidR="00014474">
              <w:rPr>
                <w:rStyle w:val="Hipervnculo"/>
                <w:noProof/>
              </w:rPr>
              <w:t xml:space="preserve"> 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_Toc81504927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5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4BFD0C40" w14:textId="4EEBF6BC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28" w:history="1">
            <w:r w:rsidR="00014474" w:rsidRPr="00BF0032">
              <w:rPr>
                <w:rStyle w:val="Hipervnculo"/>
                <w:noProof/>
              </w:rPr>
              <w:t>Sistemas externos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_Toc81504928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5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45CBD0B0" w14:textId="1F6AF7E7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29" w:history="1">
            <w:r w:rsidR="00014474" w:rsidRPr="00BF0032">
              <w:rPr>
                <w:rStyle w:val="Hipervnculo"/>
                <w:noProof/>
              </w:rPr>
              <w:t>Tipos de Inicio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_Toc81504929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6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3711B6D2" w14:textId="7F1C2D2B" w:rsidR="00014474" w:rsidRDefault="00A410E4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30" w:history="1">
            <w:r w:rsidR="00014474" w:rsidRPr="00BF0032">
              <w:rPr>
                <w:rStyle w:val="Hipervnculo"/>
                <w:noProof/>
              </w:rPr>
              <w:t>3.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FLUJO DE TRABAJO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_Toc81504930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7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3D9F69AF" w14:textId="14173D7C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1" w:history="1">
            <w:r w:rsidR="00014474" w:rsidRPr="00BF0032">
              <w:rPr>
                <w:rStyle w:val="Hipervnculo"/>
                <w:noProof/>
              </w:rPr>
              <w:t>Periodo presentación solicitudes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_Toc81504931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7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7A63EC9" w14:textId="08A420EC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2" w:history="1">
            <w:r w:rsidR="00014474" w:rsidRPr="00BF0032">
              <w:rPr>
                <w:rStyle w:val="Hipervnculo"/>
                <w:noProof/>
              </w:rPr>
              <w:t>1er. Periodo revisión de solicitudes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_Toc81504932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8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FC36130" w14:textId="32832BFF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3" w:history="1">
            <w:r w:rsidR="00014474" w:rsidRPr="00BF0032">
              <w:rPr>
                <w:rStyle w:val="Hipervnculo"/>
                <w:noProof/>
              </w:rPr>
              <w:t>Periodo de recepción de subsanaciones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_Toc81504933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757442CE" w14:textId="0249DBCF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4" w:history="1">
            <w:r w:rsidR="00014474" w:rsidRPr="00BF0032">
              <w:rPr>
                <w:rStyle w:val="Hipervnculo"/>
                <w:noProof/>
              </w:rPr>
              <w:t>1er. Periodo de avales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_Toc81504934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0833C6E9" w14:textId="059AD88C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5" w:history="1">
            <w:r w:rsidR="00014474" w:rsidRPr="00BF0032">
              <w:rPr>
                <w:rStyle w:val="Hipervnculo"/>
                <w:noProof/>
              </w:rPr>
              <w:t>2do. Periodo revisión de solicitudes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_Toc81504935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456285AD" w14:textId="58B9DF2A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6" w:history="1">
            <w:r w:rsidR="00014474" w:rsidRPr="00BF0032">
              <w:rPr>
                <w:rStyle w:val="Hipervnculo"/>
                <w:noProof/>
              </w:rPr>
              <w:t>2do. Periodo de avales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_Toc81504936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6FAF1E0E" w14:textId="0D77C146" w:rsidR="00014474" w:rsidRDefault="00A410E4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7" w:history="1">
            <w:r w:rsidR="00014474" w:rsidRPr="00BF0032">
              <w:rPr>
                <w:rStyle w:val="Hipervnculo"/>
                <w:noProof/>
              </w:rPr>
              <w:t>Periodo revisión definitiva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_Toc81504937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10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C20E19E" w14:textId="6526EB9B" w:rsidR="00014474" w:rsidRDefault="00A410E4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38" w:history="1">
            <w:r w:rsidR="00014474" w:rsidRPr="00BF0032">
              <w:rPr>
                <w:rStyle w:val="Hipervnculo"/>
                <w:noProof/>
              </w:rPr>
              <w:t>4.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ESQUEMA DEL PROCEDIMIENTO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_Toc81504938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11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8E0CB7F" w14:textId="31312847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504925"/>
      <w:r w:rsidRPr="005865F0">
        <w:lastRenderedPageBreak/>
        <w:t>INTRODUCCIÓN</w:t>
      </w:r>
      <w:bookmarkEnd w:id="1"/>
    </w:p>
    <w:p w14:paraId="7D515973" w14:textId="5AFB604E" w:rsidR="001B1CFE" w:rsidRDefault="00D8072A" w:rsidP="00167F5B">
      <w:pPr>
        <w:spacing w:before="240" w:line="360" w:lineRule="auto"/>
        <w:jc w:val="both"/>
      </w:pPr>
      <w:r w:rsidRPr="00D8072A">
        <w:t>Presentar solicitud de personal de apoyo en los Tribunales de Evaluación para el Acceso a la Universidad.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504926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8719F">
      <w:pPr>
        <w:pStyle w:val="Ttulo2"/>
      </w:pPr>
      <w:bookmarkStart w:id="3" w:name="_Toc81504927"/>
      <w:r w:rsidRPr="00C8719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5DC0BCC6" w:rsidR="00CD5249" w:rsidRDefault="00CD5249" w:rsidP="00D8072A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D8072A" w:rsidRPr="00D8072A">
        <w:t>Personal de Administración y Servicios de la Universidad Autónoma de Mad</w:t>
      </w:r>
      <w:r w:rsidR="00D8072A">
        <w:t>rid, conforme a la convocatoria</w:t>
      </w:r>
      <w:r w:rsidR="00EC066C" w:rsidRPr="00EC066C">
        <w:t>.</w:t>
      </w:r>
    </w:p>
    <w:p w14:paraId="7CA2354E" w14:textId="598089A9" w:rsidR="00CD5249" w:rsidRDefault="00D8072A" w:rsidP="00D8072A">
      <w:pPr>
        <w:pStyle w:val="Prrafodelista"/>
        <w:numPr>
          <w:ilvl w:val="0"/>
          <w:numId w:val="28"/>
        </w:numPr>
        <w:spacing w:before="240" w:line="360" w:lineRule="auto"/>
      </w:pPr>
      <w:r w:rsidRPr="00D8072A">
        <w:t>Administración de Sección Acceso, Admisión y Traslados</w:t>
      </w:r>
      <w:r>
        <w:t xml:space="preserve"> </w:t>
      </w:r>
      <w:r w:rsidR="00EC066C">
        <w:t>- Administrativo</w:t>
      </w:r>
      <w:r w:rsidR="00BD26BD">
        <w:t xml:space="preserve"> (Rol </w:t>
      </w:r>
      <w:r w:rsidRPr="00D8072A">
        <w:t>SECCION_ACCESO_ADM</w:t>
      </w:r>
      <w:r w:rsidR="00BD26BD">
        <w:t>).</w:t>
      </w:r>
    </w:p>
    <w:p w14:paraId="30B208E5" w14:textId="34856E8A" w:rsidR="00167F5B" w:rsidRDefault="00167F5B" w:rsidP="00167F5B">
      <w:pPr>
        <w:pStyle w:val="Prrafodelista"/>
        <w:numPr>
          <w:ilvl w:val="0"/>
          <w:numId w:val="28"/>
        </w:numPr>
        <w:spacing w:before="240" w:line="360" w:lineRule="auto"/>
      </w:pPr>
      <w:r>
        <w:t>A</w:t>
      </w:r>
      <w:r w:rsidRPr="00167F5B">
        <w:t>valista</w:t>
      </w:r>
      <w:r>
        <w:t>:</w:t>
      </w:r>
      <w:r w:rsidRPr="00167F5B">
        <w:t xml:space="preserve"> el </w:t>
      </w:r>
      <w:r w:rsidR="00D8072A">
        <w:t>responsable del/de la interesado/a</w:t>
      </w:r>
      <w:r w:rsidRPr="00167F5B">
        <w:t>.</w:t>
      </w:r>
    </w:p>
    <w:p w14:paraId="1C6398A8" w14:textId="7D9A4C55" w:rsidR="00CD5249" w:rsidRDefault="00CD5249" w:rsidP="00BE7887">
      <w:pPr>
        <w:pStyle w:val="Ttulo2"/>
      </w:pPr>
      <w:bookmarkStart w:id="4" w:name="_Toc81504928"/>
      <w:r w:rsidRPr="004301F8">
        <w:t>Sistemas</w:t>
      </w:r>
      <w:r>
        <w:t xml:space="preserve"> externos</w:t>
      </w:r>
      <w:bookmarkEnd w:id="4"/>
    </w:p>
    <w:p w14:paraId="29E60F9D" w14:textId="5637EC1A" w:rsidR="00D22503" w:rsidRDefault="00286A14" w:rsidP="00286A14">
      <w:pPr>
        <w:pStyle w:val="Prrafodelista"/>
        <w:numPr>
          <w:ilvl w:val="0"/>
          <w:numId w:val="29"/>
        </w:numPr>
        <w:spacing w:before="240" w:line="360" w:lineRule="auto"/>
      </w:pPr>
      <w:r w:rsidRPr="00286A14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69E9A50" w:rsidR="007E0396" w:rsidRDefault="00167F5B" w:rsidP="007E0396">
      <w:pPr>
        <w:pStyle w:val="Prrafodelista"/>
        <w:numPr>
          <w:ilvl w:val="0"/>
          <w:numId w:val="29"/>
        </w:numPr>
        <w:spacing w:before="240" w:line="360" w:lineRule="auto"/>
      </w:pPr>
      <w:r>
        <w:lastRenderedPageBreak/>
        <w:t>OCU</w:t>
      </w:r>
      <w:r w:rsidR="007E0396">
        <w:t>: es la aplicación</w:t>
      </w:r>
      <w:r w:rsidR="00E2273B">
        <w:t xml:space="preserve"> encargada de la administración de los </w:t>
      </w:r>
      <w:r>
        <w:t xml:space="preserve">datos personales del personal </w:t>
      </w:r>
      <w:r w:rsidR="00E2273B">
        <w:t>de la universidad.</w:t>
      </w:r>
    </w:p>
    <w:p w14:paraId="560774A7" w14:textId="16F5A950" w:rsidR="00CD5249" w:rsidRDefault="00CD5249" w:rsidP="00BE7887">
      <w:pPr>
        <w:pStyle w:val="Ttulo2"/>
      </w:pPr>
      <w:bookmarkStart w:id="5" w:name="_Toc81504929"/>
      <w:r>
        <w:t>Tipos de Inicio</w:t>
      </w:r>
      <w:bookmarkEnd w:id="5"/>
    </w:p>
    <w:p w14:paraId="3A14F7C6" w14:textId="3E0CBA4F" w:rsidR="00CD5249" w:rsidRDefault="00CD5249" w:rsidP="00D8072A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7E0396" w:rsidRPr="007E0396">
        <w:rPr>
          <w:rStyle w:val="Hipervnculo"/>
        </w:rPr>
        <w:t>https://sede.uam.es/</w:t>
      </w:r>
      <w:r w:rsidR="00CA056C">
        <w:rPr>
          <w:rStyle w:val="Hipervnculo"/>
        </w:rPr>
        <w:t>sede/</w:t>
      </w:r>
      <w:r w:rsidR="00D8072A" w:rsidRPr="00D8072A">
        <w:rPr>
          <w:rStyle w:val="Hipervnculo"/>
        </w:rPr>
        <w:t>apoyoevau</w:t>
      </w:r>
      <w:r w:rsidR="002B4B73">
        <w:t>)</w:t>
      </w:r>
      <w:r w:rsidR="007E0396" w:rsidRPr="007E0396">
        <w:t xml:space="preserve"> </w:t>
      </w:r>
    </w:p>
    <w:p w14:paraId="3F0326AD" w14:textId="11778D5F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</w:t>
      </w:r>
      <w:r w:rsidR="00D8072A">
        <w:t xml:space="preserve"> </w:t>
      </w:r>
      <w:r>
        <w:t>l</w:t>
      </w:r>
      <w:r w:rsidR="00D8072A">
        <w:t>a</w:t>
      </w:r>
      <w:r>
        <w:t xml:space="preserve"> </w:t>
      </w:r>
      <w:r w:rsidR="00D8072A" w:rsidRPr="00D8072A">
        <w:t>Administración de Sección Acceso, Admisión y Traslados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1504930"/>
      <w:r>
        <w:lastRenderedPageBreak/>
        <w:t>FLUJO DE TRABAJO</w:t>
      </w:r>
      <w:bookmarkEnd w:id="6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4F5D8322" w14:textId="2056DD42" w:rsidR="00CA056C" w:rsidRDefault="00E2740F" w:rsidP="00CA056C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3F72F2F6" w14:textId="0F71097A" w:rsidR="00CA056C" w:rsidRDefault="00CA056C" w:rsidP="00CA056C">
      <w:pPr>
        <w:pStyle w:val="Prrafodelista"/>
        <w:numPr>
          <w:ilvl w:val="0"/>
          <w:numId w:val="32"/>
        </w:numPr>
        <w:spacing w:before="240" w:line="360" w:lineRule="auto"/>
      </w:pPr>
      <w:r>
        <w:t>1er. Periodo de avales</w:t>
      </w:r>
    </w:p>
    <w:p w14:paraId="16223486" w14:textId="715C370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79B7EA25" w14:textId="2E1F0F2A" w:rsidR="00CA056C" w:rsidRDefault="00CA056C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2do. Periodo de avales</w:t>
      </w:r>
    </w:p>
    <w:p w14:paraId="688E3F39" w14:textId="766970DB" w:rsidR="00CA056C" w:rsidRDefault="00CA056C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Periodo revisión definitiva</w:t>
      </w:r>
    </w:p>
    <w:p w14:paraId="26CE76BE" w14:textId="5D97034F" w:rsidR="00E2740F" w:rsidRDefault="00E2740F" w:rsidP="00E2740F">
      <w:pPr>
        <w:pStyle w:val="Ttulo2"/>
      </w:pPr>
      <w:bookmarkStart w:id="7" w:name="_Toc81504931"/>
      <w:r w:rsidRPr="00E2740F">
        <w:t>Periodo presentación solicitudes</w:t>
      </w:r>
      <w:bookmarkEnd w:id="7"/>
    </w:p>
    <w:p w14:paraId="19B0E1C8" w14:textId="04F708E0" w:rsidR="00A0091E" w:rsidRDefault="00F3261D" w:rsidP="00A0091E">
      <w:pPr>
        <w:spacing w:before="240" w:line="360" w:lineRule="auto"/>
      </w:pPr>
      <w:r>
        <w:t xml:space="preserve">Si el solicitante </w:t>
      </w:r>
      <w:r w:rsidR="00CA056C">
        <w:t xml:space="preserve">es personal </w:t>
      </w:r>
      <w:r w:rsidR="00D8072A">
        <w:t>PAS</w:t>
      </w:r>
      <w:r>
        <w:t xml:space="preserve"> podrá autenticarse e iniciar el procedimiento utilizando su usuario y contraseña de la UAM.</w:t>
      </w:r>
    </w:p>
    <w:p w14:paraId="766C6D88" w14:textId="544DE0B2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D8072A" w:rsidRPr="00D8072A">
        <w:rPr>
          <w:b/>
          <w:bCs/>
        </w:rPr>
        <w:t>Personal de Apoyo a Tribunales de EVAU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163E1533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</w:t>
      </w:r>
      <w:r w:rsidR="00CA056C">
        <w:t>OCU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227C7F3E" w14:textId="17DF5222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Número de móvil.</w:t>
      </w:r>
    </w:p>
    <w:p w14:paraId="0D546226" w14:textId="6C9BDD45" w:rsidR="00CA056C" w:rsidRDefault="00D8072A" w:rsidP="00D8072A">
      <w:pPr>
        <w:pStyle w:val="Prrafodelista"/>
        <w:numPr>
          <w:ilvl w:val="0"/>
          <w:numId w:val="22"/>
        </w:numPr>
        <w:spacing w:before="240" w:line="360" w:lineRule="auto"/>
      </w:pPr>
      <w:r w:rsidRPr="00D8072A">
        <w:t>Convocatoria de la que desea formar parte</w:t>
      </w:r>
    </w:p>
    <w:p w14:paraId="3A387833" w14:textId="6DEABF65" w:rsidR="00CA056C" w:rsidRDefault="004E1AD8" w:rsidP="009F5A42">
      <w:pPr>
        <w:pStyle w:val="Prrafodelista"/>
        <w:numPr>
          <w:ilvl w:val="0"/>
          <w:numId w:val="22"/>
        </w:numPr>
        <w:spacing w:before="240" w:line="360" w:lineRule="auto"/>
      </w:pPr>
      <w:r>
        <w:t>En caso</w:t>
      </w:r>
      <w:r w:rsidR="00CA056C">
        <w:t xml:space="preserve"> de que </w:t>
      </w:r>
      <w:r w:rsidR="009F5A42">
        <w:t>en</w:t>
      </w:r>
      <w:r w:rsidR="00CA056C">
        <w:t xml:space="preserve"> </w:t>
      </w:r>
      <w:r w:rsidR="001B1CFE">
        <w:t>“</w:t>
      </w:r>
      <w:r w:rsidR="009F5A42" w:rsidRPr="009F5A42">
        <w:rPr>
          <w:i/>
        </w:rPr>
        <w:t>Datos para la transferencia bancaria</w:t>
      </w:r>
      <w:r w:rsidR="001B1CFE">
        <w:t>”</w:t>
      </w:r>
      <w:r w:rsidR="009F5A42">
        <w:t xml:space="preserve"> se seleccione “</w:t>
      </w:r>
      <w:r w:rsidR="009F5A42" w:rsidRPr="009F5A42">
        <w:rPr>
          <w:i/>
        </w:rPr>
        <w:t>Otra cuenta</w:t>
      </w:r>
      <w:r w:rsidR="009F5A42">
        <w:t>”</w:t>
      </w:r>
      <w:r w:rsidR="00CA056C">
        <w:t xml:space="preserve">, </w:t>
      </w:r>
      <w:r w:rsidR="009F5A42" w:rsidRPr="009F5A42">
        <w:t>IBAN</w:t>
      </w:r>
      <w:r w:rsidR="009F5A42">
        <w:t xml:space="preserve">, </w:t>
      </w:r>
      <w:r w:rsidR="009F5A42" w:rsidRPr="009F5A42">
        <w:t>BANCO</w:t>
      </w:r>
      <w:r w:rsidR="009F5A42">
        <w:t xml:space="preserve">, </w:t>
      </w:r>
      <w:r w:rsidR="009F5A42" w:rsidRPr="009F5A42">
        <w:t>SUCURSAL</w:t>
      </w:r>
      <w:r w:rsidR="009F5A42">
        <w:t xml:space="preserve">, </w:t>
      </w:r>
      <w:r w:rsidR="009F5A42" w:rsidRPr="009F5A42">
        <w:t>DC</w:t>
      </w:r>
      <w:r w:rsidR="009F5A42">
        <w:t xml:space="preserve"> y </w:t>
      </w:r>
      <w:r w:rsidR="009F5A42" w:rsidRPr="009F5A42">
        <w:t>CÓDIGO CUENTA CORRIENTE</w:t>
      </w:r>
      <w:r>
        <w:t>.</w:t>
      </w:r>
    </w:p>
    <w:p w14:paraId="5FECE80A" w14:textId="60F20ACD" w:rsidR="00AD414D" w:rsidRDefault="00AD414D" w:rsidP="00AD414D">
      <w:pPr>
        <w:pStyle w:val="Prrafodelista"/>
        <w:numPr>
          <w:ilvl w:val="0"/>
          <w:numId w:val="22"/>
        </w:numPr>
        <w:spacing w:before="240" w:line="360" w:lineRule="auto"/>
      </w:pPr>
      <w:r w:rsidRPr="00AD414D">
        <w:t>Declaración responsable</w:t>
      </w:r>
      <w:r>
        <w:t>.</w:t>
      </w:r>
    </w:p>
    <w:p w14:paraId="36141A26" w14:textId="2F3D8DDC" w:rsidR="00A0091E" w:rsidRDefault="00D601F6" w:rsidP="00992C71">
      <w:pPr>
        <w:spacing w:before="240" w:line="360" w:lineRule="auto"/>
      </w:pPr>
      <w:r>
        <w:lastRenderedPageBreak/>
        <w:t>Además,</w:t>
      </w:r>
      <w:r w:rsidR="00AD414D">
        <w:t xml:space="preserve"> </w:t>
      </w:r>
      <w:r w:rsidR="00992C71">
        <w:t xml:space="preserve">se pide al interesado </w:t>
      </w:r>
      <w:r w:rsidR="004E1AD8">
        <w:t>la extensión de su número de teléfono de la universidad</w:t>
      </w:r>
      <w:r w:rsidR="00AD414D">
        <w:t>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6115D857" w14:textId="3C829B27" w:rsidR="00786BC1" w:rsidRDefault="00793D21" w:rsidP="0023637C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196B7109" w14:textId="4E49083B" w:rsidR="00E2740F" w:rsidRDefault="00E2740F" w:rsidP="00E2740F">
      <w:pPr>
        <w:pStyle w:val="Ttulo2"/>
      </w:pPr>
      <w:bookmarkStart w:id="8" w:name="_Toc81504932"/>
      <w:r w:rsidRPr="00E2740F">
        <w:t>1er. Periodo revisión de solicitudes</w:t>
      </w:r>
      <w:bookmarkEnd w:id="8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06FC6521" w14:textId="28D7D2C5" w:rsidR="00BA5A3A" w:rsidRPr="00BA5A3A" w:rsidRDefault="00094D4C" w:rsidP="00BA5A3A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7A9CAD91" w14:textId="1BC0648E" w:rsidR="00A3726A" w:rsidRPr="000C2098" w:rsidRDefault="00BA5A3A" w:rsidP="00BA5A3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A5A3A">
        <w:rPr>
          <w:lang w:val="es-ES_tradnl" w:eastAsia="ar-SA"/>
        </w:rPr>
        <w:t>Excluido por no cumplir las bases de la convocatoria</w:t>
      </w:r>
      <w:r w:rsidR="000C2098">
        <w:rPr>
          <w:lang w:val="es-ES_tradnl" w:eastAsia="ar-SA"/>
        </w:rPr>
        <w:t>.</w:t>
      </w:r>
    </w:p>
    <w:p w14:paraId="475FACC7" w14:textId="11BA1F23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9" w:name="_Toc81504933"/>
      <w:r w:rsidRPr="00E2740F">
        <w:t>Periodo de recepción de subsanaciones</w:t>
      </w:r>
      <w:bookmarkEnd w:id="9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07ED556D" w14:textId="7380AF42" w:rsidR="000C2098" w:rsidRDefault="00A24338" w:rsidP="00E2740F">
      <w:r>
        <w:t>El expediente se mantendrá en esta fase hasta el fin de esta.</w:t>
      </w:r>
    </w:p>
    <w:p w14:paraId="75F53719" w14:textId="77777777" w:rsidR="000C2098" w:rsidRDefault="000C2098" w:rsidP="000C2098">
      <w:pPr>
        <w:pStyle w:val="Ttulo2"/>
      </w:pPr>
      <w:bookmarkStart w:id="10" w:name="_Toc81504934"/>
      <w:r>
        <w:lastRenderedPageBreak/>
        <w:t>1er. Periodo de avales</w:t>
      </w:r>
      <w:bookmarkEnd w:id="10"/>
    </w:p>
    <w:p w14:paraId="698A6D71" w14:textId="2573CC02" w:rsidR="000C2098" w:rsidRDefault="00BA5A3A" w:rsidP="00E2740F">
      <w:r>
        <w:t>Todas las solicitudes admitidas en el 1er. Periodo revisión de solicitudes deberán ser avaladas por el responsable del interesado</w:t>
      </w:r>
      <w:r w:rsidR="000C2098">
        <w:t>.</w:t>
      </w:r>
    </w:p>
    <w:p w14:paraId="06475523" w14:textId="6B542F8B" w:rsidR="00094D4C" w:rsidRDefault="000C2098" w:rsidP="00E2740F">
      <w:r>
        <w:t>En esta actividad el avalista deberá avalar o no avalar la solicitud y si cree conveniente añadir una observación.</w:t>
      </w:r>
    </w:p>
    <w:p w14:paraId="17B0C54F" w14:textId="4E681B5C" w:rsidR="008A58FF" w:rsidRDefault="008A58FF" w:rsidP="00E2740F">
      <w:r>
        <w:t>Al 1er. Periodo de avales llegan los expedientes que han sido admitidos en el 1er. Periodo de revisión de solicitudes y cumplen los requisitos correspondientes.</w:t>
      </w:r>
    </w:p>
    <w:p w14:paraId="6E8C19CB" w14:textId="4D64AA85" w:rsidR="00A24338" w:rsidRDefault="00094D4C" w:rsidP="00A24338">
      <w:pPr>
        <w:pStyle w:val="Ttulo2"/>
      </w:pPr>
      <w:bookmarkStart w:id="11" w:name="_Toc81504935"/>
      <w:r w:rsidRPr="00E2740F">
        <w:t>2do. Periodo revisión de solicitudes</w:t>
      </w:r>
      <w:bookmarkEnd w:id="11"/>
    </w:p>
    <w:p w14:paraId="29EE8D14" w14:textId="3E0E78A9" w:rsidR="00A24338" w:rsidRDefault="00A24338" w:rsidP="00A24338">
      <w:r>
        <w:t>Al igual que en el primer periodo de revisión, el administrativo deberá estudiar las solicitudes y las subsanaciones realizadas con el objetivo de determinar si cada un</w:t>
      </w:r>
      <w:r w:rsidR="008A58FF">
        <w:t>a de las solicitudes es admitida</w:t>
      </w:r>
      <w:r>
        <w:t>, excluida o cancelada.</w:t>
      </w:r>
    </w:p>
    <w:p w14:paraId="4C37BB0B" w14:textId="24B11DF8" w:rsidR="008A58FF" w:rsidRDefault="008A58FF" w:rsidP="008A58FF">
      <w:pPr>
        <w:pStyle w:val="Ttulo2"/>
      </w:pPr>
      <w:bookmarkStart w:id="12" w:name="_Toc81504936"/>
      <w:r>
        <w:t>2do.</w:t>
      </w:r>
      <w:r w:rsidRPr="008A58FF">
        <w:t xml:space="preserve"> </w:t>
      </w:r>
      <w:r>
        <w:t>Periodo de avales</w:t>
      </w:r>
      <w:bookmarkEnd w:id="12"/>
    </w:p>
    <w:p w14:paraId="14EA6C4E" w14:textId="31624E61" w:rsidR="00BA5A3A" w:rsidRDefault="00BA5A3A" w:rsidP="00BA5A3A">
      <w:r>
        <w:t>Todas las solicitudes admitidas en el 2do. Periodo revisión de solicitudes deberán ser avaladas por el responsable del interesado.</w:t>
      </w:r>
    </w:p>
    <w:p w14:paraId="0B1C8E04" w14:textId="0049B313" w:rsidR="008A58FF" w:rsidRDefault="00BA5A3A" w:rsidP="00BA5A3A">
      <w:r>
        <w:t>En esta actividad el avalista deberá avalar o no avalar la solicitud y si cree conveniente añadir una observación.</w:t>
      </w:r>
    </w:p>
    <w:p w14:paraId="39D77E53" w14:textId="1E955F55" w:rsidR="008A58FF" w:rsidRDefault="008A58FF" w:rsidP="008A58FF">
      <w:r>
        <w:t>Al 2do. Periodo de avales llegan los expedientes que han sido admitidos en el 2do. Periodo de revisión de solicitudes y cumplen los requisitos correspondientes.</w:t>
      </w:r>
    </w:p>
    <w:p w14:paraId="30CD8B89" w14:textId="3FBA39FB" w:rsidR="008A58FF" w:rsidRPr="008A58FF" w:rsidRDefault="008A58FF" w:rsidP="008A58FF">
      <w:pPr>
        <w:pStyle w:val="Ttulo2"/>
      </w:pPr>
      <w:bookmarkStart w:id="13" w:name="_Toc81504937"/>
      <w:r>
        <w:t>Periodo revisión definitiva</w:t>
      </w:r>
      <w:bookmarkEnd w:id="13"/>
    </w:p>
    <w:p w14:paraId="627F404F" w14:textId="4942F2FD" w:rsidR="008A58FF" w:rsidRPr="008A58FF" w:rsidRDefault="008A58FF" w:rsidP="008A58FF">
      <w:r>
        <w:t>Al igual que en el primer y segundo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4" w:name="_Toc81504938"/>
      <w:r>
        <w:lastRenderedPageBreak/>
        <w:t>ESQUEMA DEL PROCEDIMIENTO</w:t>
      </w:r>
      <w:bookmarkStart w:id="15" w:name="PROCEDIMIENTO_DE_RECLAMACION"/>
      <w:bookmarkEnd w:id="14"/>
    </w:p>
    <w:p w14:paraId="5FC5AEE6" w14:textId="31D345E4" w:rsidR="0050431C" w:rsidRPr="0050431C" w:rsidRDefault="00BA0B04" w:rsidP="0050431C">
      <w:bookmarkStart w:id="16" w:name="_GoBack"/>
      <w:bookmarkEnd w:id="15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3087E821">
            <wp:simplePos x="0" y="0"/>
            <wp:positionH relativeFrom="page">
              <wp:posOffset>2317750</wp:posOffset>
            </wp:positionH>
            <wp:positionV relativeFrom="paragraph">
              <wp:posOffset>1179830</wp:posOffset>
            </wp:positionV>
            <wp:extent cx="6149957" cy="3178808"/>
            <wp:effectExtent l="0" t="0" r="381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57" cy="317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9A210" w14:textId="77777777" w:rsidR="00A410E4" w:rsidRDefault="00A410E4" w:rsidP="00C502BE">
      <w:pPr>
        <w:spacing w:after="0" w:line="240" w:lineRule="auto"/>
      </w:pPr>
      <w:r>
        <w:separator/>
      </w:r>
    </w:p>
  </w:endnote>
  <w:endnote w:type="continuationSeparator" w:id="0">
    <w:p w14:paraId="4EA96CC4" w14:textId="77777777" w:rsidR="00A410E4" w:rsidRDefault="00A410E4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02ACFB3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8B0175">
      <w:rPr>
        <w:rFonts w:ascii="Helvetica" w:hAnsi="Helvetica" w:cs="Helvetica"/>
        <w:bCs/>
        <w:noProof/>
        <w:sz w:val="20"/>
        <w:szCs w:val="20"/>
      </w:rPr>
      <w:t>9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0F4DB2" w:rsidRPr="000F4DB2">
      <w:rPr>
        <w:rFonts w:ascii="Helvetica" w:hAnsi="Helvetica"/>
        <w:bCs/>
        <w:color w:val="0077C8"/>
        <w:sz w:val="18"/>
        <w:szCs w:val="18"/>
      </w:rPr>
      <w:t>07-04 Personal de Apoyo a Tribunales de EVAU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5A3FB7C0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8B0175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0F4DB2" w:rsidRPr="000F4DB2">
      <w:rPr>
        <w:rFonts w:ascii="Helvetica" w:hAnsi="Helvetica"/>
        <w:bCs/>
        <w:color w:val="0077C8"/>
        <w:sz w:val="18"/>
        <w:szCs w:val="18"/>
      </w:rPr>
      <w:t>07-04 Personal de Apoyo a Tribunales de EVAU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F019A" w14:textId="77777777" w:rsidR="00A410E4" w:rsidRDefault="00A410E4" w:rsidP="00C502BE">
      <w:pPr>
        <w:spacing w:after="0" w:line="240" w:lineRule="auto"/>
      </w:pPr>
      <w:r>
        <w:separator/>
      </w:r>
    </w:p>
  </w:footnote>
  <w:footnote w:type="continuationSeparator" w:id="0">
    <w:p w14:paraId="0C76A30C" w14:textId="77777777" w:rsidR="00A410E4" w:rsidRDefault="00A410E4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7" name="Imagen 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B4E1BF2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31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8"/>
  </w:num>
  <w:num w:numId="15">
    <w:abstractNumId w:val="15"/>
  </w:num>
  <w:num w:numId="16">
    <w:abstractNumId w:val="7"/>
  </w:num>
  <w:num w:numId="17">
    <w:abstractNumId w:val="26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30"/>
  </w:num>
  <w:num w:numId="29">
    <w:abstractNumId w:val="16"/>
  </w:num>
  <w:num w:numId="30">
    <w:abstractNumId w:val="4"/>
  </w:num>
  <w:num w:numId="31">
    <w:abstractNumId w:val="27"/>
  </w:num>
  <w:num w:numId="32">
    <w:abstractNumId w:val="10"/>
  </w:num>
  <w:num w:numId="33">
    <w:abstractNumId w:val="25"/>
  </w:num>
  <w:num w:numId="34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4474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4B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098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4DB2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67F5B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1CFE"/>
    <w:rsid w:val="001B4A99"/>
    <w:rsid w:val="001B56BD"/>
    <w:rsid w:val="001B7FF5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62E"/>
    <w:rsid w:val="00284BB8"/>
    <w:rsid w:val="002857D7"/>
    <w:rsid w:val="00285ED1"/>
    <w:rsid w:val="00286A14"/>
    <w:rsid w:val="00286B72"/>
    <w:rsid w:val="0028780D"/>
    <w:rsid w:val="002915D2"/>
    <w:rsid w:val="00291C9E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0700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3CBF"/>
    <w:rsid w:val="00435800"/>
    <w:rsid w:val="00435872"/>
    <w:rsid w:val="00435BE0"/>
    <w:rsid w:val="00436B37"/>
    <w:rsid w:val="00437410"/>
    <w:rsid w:val="00441F67"/>
    <w:rsid w:val="00442626"/>
    <w:rsid w:val="00443AEF"/>
    <w:rsid w:val="00443E47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1AD8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274A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0E62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5A31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56745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8FF"/>
    <w:rsid w:val="008A59BD"/>
    <w:rsid w:val="008A7344"/>
    <w:rsid w:val="008A79AA"/>
    <w:rsid w:val="008A7D01"/>
    <w:rsid w:val="008B0175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2C71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9F5A42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10E4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A5A3A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19F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056C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1F6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072A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5B53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155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D79F4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6C16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BA5A3A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65F05-ECD2-4AA7-BE06-2A1CB247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8429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2021-12-13T16:59:00Z</dcterms:modified>
</cp:coreProperties>
</file>