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28E24" w14:textId="77777777" w:rsidR="00462342" w:rsidRPr="00462342" w:rsidRDefault="00462342" w:rsidP="00462342">
      <w:pPr>
        <w:numPr>
          <w:ilvl w:val="0"/>
          <w:numId w:val="1"/>
        </w:numPr>
        <w:rPr>
          <w:b/>
          <w:bCs/>
        </w:rPr>
      </w:pPr>
      <w:r w:rsidRPr="00462342">
        <w:t>Estado da arte</w:t>
      </w:r>
      <w:r w:rsidRPr="00462342">
        <w:rPr>
          <w:b/>
          <w:bCs/>
        </w:rPr>
        <w:t> </w:t>
      </w:r>
    </w:p>
    <w:p w14:paraId="7543DFEE" w14:textId="25C543DE" w:rsidR="00462342" w:rsidRPr="00462342" w:rsidRDefault="00462342" w:rsidP="00462342">
      <w:r w:rsidRPr="00462342">
        <w:t>Neste capítulo apresenta-se o estado da arte relacionado com a gestão da toma de medicamentos através de soluções digitais, particularmente no contexto do </w:t>
      </w:r>
      <w:proofErr w:type="spellStart"/>
      <w:r w:rsidRPr="00462342">
        <w:t>mHealth</w:t>
      </w:r>
      <w:proofErr w:type="spellEnd"/>
      <w:r w:rsidRPr="00462342">
        <w:t xml:space="preserve">. Começa-se por enquadrar o ecossistema atual e discutir a sua eficácia clínica. De seguida, o foco passa para os objetivos específicos e para as principais contribuições da solução desenvolvida neste </w:t>
      </w:r>
      <w:proofErr w:type="gramStart"/>
      <w:r w:rsidRPr="00462342">
        <w:t xml:space="preserve">projeto </w:t>
      </w:r>
      <w:r>
        <w:t>,</w:t>
      </w:r>
      <w:proofErr w:type="gramEnd"/>
      <w:r w:rsidRPr="00462342">
        <w:t xml:space="preserve"> a aplicação </w:t>
      </w:r>
      <w:proofErr w:type="spellStart"/>
      <w:proofErr w:type="gramStart"/>
      <w:r w:rsidRPr="00462342">
        <w:t>SafeMed</w:t>
      </w:r>
      <w:proofErr w:type="spellEnd"/>
      <w:r w:rsidRPr="00462342">
        <w:t> ,</w:t>
      </w:r>
      <w:proofErr w:type="gramEnd"/>
      <w:r w:rsidRPr="00462342">
        <w:t xml:space="preserve"> com destaque para funcionalidades como os sistemas de apoio à decisão, a gestão de perfis de utilizador, o processamento de receitas médicas e o planeamento das tomas. Por fim, são analisadas as tecnologias utilizadas no desenvolvimento móvel e no armazenamento de dados. </w:t>
      </w:r>
    </w:p>
    <w:p w14:paraId="47F29A2F" w14:textId="77777777" w:rsidR="00462342" w:rsidRPr="00462342" w:rsidRDefault="00462342" w:rsidP="00462342">
      <w:r w:rsidRPr="00462342">
        <w:rPr>
          <w:b/>
          <w:bCs/>
        </w:rPr>
        <w:t>2.1. O Ecossistema </w:t>
      </w:r>
      <w:proofErr w:type="spellStart"/>
      <w:r w:rsidRPr="00462342">
        <w:rPr>
          <w:b/>
          <w:bCs/>
        </w:rPr>
        <w:t>mHealth</w:t>
      </w:r>
      <w:proofErr w:type="spellEnd"/>
      <w:r w:rsidRPr="00462342">
        <w:rPr>
          <w:b/>
          <w:bCs/>
        </w:rPr>
        <w:t> e a Posição da </w:t>
      </w:r>
      <w:proofErr w:type="spellStart"/>
      <w:r w:rsidRPr="00462342">
        <w:rPr>
          <w:b/>
          <w:bCs/>
        </w:rPr>
        <w:t>SafeMed</w:t>
      </w:r>
      <w:proofErr w:type="spellEnd"/>
      <w:r w:rsidRPr="00462342">
        <w:t> </w:t>
      </w:r>
    </w:p>
    <w:p w14:paraId="4111C621" w14:textId="77777777" w:rsidR="00462342" w:rsidRPr="00462342" w:rsidRDefault="00462342" w:rsidP="00462342">
      <w:r w:rsidRPr="00462342">
        <w:t>Atualmente, a crescente complexidade dos regimes terapêuticos e a elevada incidência de erros de medicação, constitui um problema relevante na segurança dos doentes, sobretudo no caso de indivíduos </w:t>
      </w:r>
      <w:proofErr w:type="spellStart"/>
      <w:r w:rsidRPr="00462342">
        <w:t>polimedicados</w:t>
      </w:r>
      <w:proofErr w:type="spellEnd"/>
      <w:r w:rsidRPr="00462342">
        <w:t>. Com o avanço das tecnologias digitais, tem-se assistido a uma transição progressiva para soluções de saúde móvel (</w:t>
      </w:r>
      <w:proofErr w:type="spellStart"/>
      <w:r w:rsidRPr="00462342">
        <w:t>mHealth</w:t>
      </w:r>
      <w:proofErr w:type="spellEnd"/>
      <w:r w:rsidRPr="00462342">
        <w:t>), que procuram responder a estes desafios. </w:t>
      </w:r>
    </w:p>
    <w:p w14:paraId="61EABDA6" w14:textId="77777777" w:rsidR="00462342" w:rsidRPr="00462342" w:rsidRDefault="00462342" w:rsidP="00462342">
      <w:r w:rsidRPr="00462342">
        <w:t>O mercado de </w:t>
      </w:r>
      <w:proofErr w:type="spellStart"/>
      <w:r w:rsidRPr="00462342">
        <w:t>mHealth</w:t>
      </w:r>
      <w:proofErr w:type="spellEnd"/>
      <w:r w:rsidRPr="00462342">
        <w:t> é bastante diversificado, abrangendo desde aplicações de monitorização de atividade física até ferramentas de apoio à gestão de doenças crónicas. O projeto em que este trabalho se insere posiciona-se na área da gestão da terapêutica medicamentosa. Neste contexto, a aplicação </w:t>
      </w:r>
      <w:proofErr w:type="spellStart"/>
      <w:r w:rsidRPr="00462342">
        <w:t>SafeMed</w:t>
      </w:r>
      <w:proofErr w:type="spellEnd"/>
      <w:r w:rsidRPr="00462342">
        <w:t> não se limita a fornecer lembretes, procurando antes funcionar como um apoio ativo ao utilizador, ajudando-o a compreender melhor as suas prescrições e a utilizá-las de forma segura. </w:t>
      </w:r>
    </w:p>
    <w:p w14:paraId="057A6519" w14:textId="77777777" w:rsidR="00462342" w:rsidRPr="00462342" w:rsidRDefault="00462342" w:rsidP="00462342">
      <w:r w:rsidRPr="00462342">
        <w:rPr>
          <w:b/>
          <w:bCs/>
        </w:rPr>
        <w:t>2.2. Eficácia das Soluções </w:t>
      </w:r>
      <w:proofErr w:type="spellStart"/>
      <w:r w:rsidRPr="00462342">
        <w:rPr>
          <w:b/>
          <w:bCs/>
        </w:rPr>
        <w:t>mHealth</w:t>
      </w:r>
      <w:proofErr w:type="spellEnd"/>
      <w:r w:rsidRPr="00462342">
        <w:rPr>
          <w:b/>
          <w:bCs/>
        </w:rPr>
        <w:t> na toma de medicamentos</w:t>
      </w:r>
      <w:r w:rsidRPr="00462342">
        <w:t> </w:t>
      </w:r>
    </w:p>
    <w:p w14:paraId="438510C0" w14:textId="77777777" w:rsidR="00462342" w:rsidRPr="00462342" w:rsidRDefault="00462342" w:rsidP="00462342">
      <w:r w:rsidRPr="00462342">
        <w:t>Estudos têm demonstrado que as aplicações móveis podem ter um impacto positivo significativo na adesão à medicação. Por exemplo, uma revisão sistemática concluiu que intervenções baseadas em aplicações contribuíram para melhorar a adesão terapêutica em doentes com patologias crónicas (de Souza Ferreira </w:t>
      </w:r>
      <w:proofErr w:type="spellStart"/>
      <w:r w:rsidRPr="00462342">
        <w:t>et</w:t>
      </w:r>
      <w:proofErr w:type="spellEnd"/>
      <w:r w:rsidRPr="00462342">
        <w:t> al., 2023). </w:t>
      </w:r>
    </w:p>
    <w:p w14:paraId="62E07714" w14:textId="77777777" w:rsidR="00462342" w:rsidRPr="00462342" w:rsidRDefault="00462342" w:rsidP="00462342">
      <w:r w:rsidRPr="00462342">
        <w:t>Para além disso, estes benefícios refletem-se também em resultados clínicos concretos. Alguns estudos indicam reduções relevantes em indicadores como a hemoglobina </w:t>
      </w:r>
      <w:proofErr w:type="spellStart"/>
      <w:r w:rsidRPr="00462342">
        <w:t>glicada</w:t>
      </w:r>
      <w:proofErr w:type="spellEnd"/>
      <w:r w:rsidRPr="00462342">
        <w:t> (HbA1c), quando comparados com grupos de controlo (de Souza Ferreira </w:t>
      </w:r>
      <w:proofErr w:type="spellStart"/>
      <w:r w:rsidRPr="00462342">
        <w:t>et</w:t>
      </w:r>
      <w:proofErr w:type="spellEnd"/>
      <w:r w:rsidRPr="00462342">
        <w:t> al., 2023). De forma geral, a evidência aponta para um impacto positivo consistente destas soluções, incluindo melhorias estatisticamente significativas na adesão. </w:t>
      </w:r>
    </w:p>
    <w:p w14:paraId="58453898" w14:textId="77777777" w:rsidR="00462342" w:rsidRPr="00462342" w:rsidRDefault="00462342" w:rsidP="00462342">
      <w:r w:rsidRPr="00462342">
        <w:rPr>
          <w:b/>
          <w:bCs/>
        </w:rPr>
        <w:t>2.3. Enquadramento e Foco do Trabalho</w:t>
      </w:r>
      <w:r w:rsidRPr="00462342">
        <w:t> </w:t>
      </w:r>
    </w:p>
    <w:p w14:paraId="7299027F" w14:textId="77777777" w:rsidR="00462342" w:rsidRPr="00462342" w:rsidRDefault="00462342" w:rsidP="00462342">
      <w:r w:rsidRPr="00462342">
        <w:lastRenderedPageBreak/>
        <w:t>O desenvolvimento da </w:t>
      </w:r>
      <w:proofErr w:type="spellStart"/>
      <w:r w:rsidRPr="00462342">
        <w:t>SafeMed</w:t>
      </w:r>
      <w:proofErr w:type="spellEnd"/>
      <w:r w:rsidRPr="00462342">
        <w:t> resulta de um esforço colaborativo de dois alunos. No âmbito deste trabalho em particular, o foco incide sobretudo na lógica central associada ao processamento de receitas, à gestão de perfis de utilizador e ao Sistema de Apoio à Decisão (SAD), tendo por base evidência identificada na literatura. </w:t>
      </w:r>
    </w:p>
    <w:p w14:paraId="7301B5D3" w14:textId="77777777" w:rsidR="00462342" w:rsidRPr="00462342" w:rsidRDefault="00462342" w:rsidP="00462342">
      <w:r w:rsidRPr="00462342">
        <w:t>No que diz respeito à gestão </w:t>
      </w:r>
      <w:proofErr w:type="spellStart"/>
      <w:r w:rsidRPr="00462342">
        <w:t>multiperfil</w:t>
      </w:r>
      <w:proofErr w:type="spellEnd"/>
      <w:r w:rsidRPr="00462342">
        <w:t> e personalização clínica, importa referir que a gestão da medicação envolve frequentemente mais do que um utilizador, nomeadamente no contexto familiar. Apesar disso, muitas aplicações atuais ainda não suportam adequadamente este cenário. A solução desenvolvida permite a criação e gestão de múltiplos perfis de forma independente, indo ao encontro de necessidades identificadas na literatura (Huang </w:t>
      </w:r>
      <w:proofErr w:type="spellStart"/>
      <w:r w:rsidRPr="00462342">
        <w:t>et</w:t>
      </w:r>
      <w:proofErr w:type="spellEnd"/>
      <w:r w:rsidRPr="00462342">
        <w:t> al., 2024). Adicionalmente, introduz uma abordagem mais visual à seleção de alergias, o que facilita a utilização e torna a avaliação de risco mais contextualizada. </w:t>
      </w:r>
    </w:p>
    <w:p w14:paraId="23A94AE0" w14:textId="77777777" w:rsidR="00462342" w:rsidRPr="00462342" w:rsidRDefault="00462342" w:rsidP="00462342">
      <w:r w:rsidRPr="00462342">
        <w:t>Relativamente ao planeamento e registo de tomas, a literatura sugere que sistemas de lembretes interativos são mais eficazes do que alarmes simples (Huang </w:t>
      </w:r>
      <w:proofErr w:type="spellStart"/>
      <w:r w:rsidRPr="00462342">
        <w:t>et</w:t>
      </w:r>
      <w:proofErr w:type="spellEnd"/>
      <w:r w:rsidRPr="00462342">
        <w:t> al., 2024). Nesse sentido, a </w:t>
      </w:r>
      <w:proofErr w:type="spellStart"/>
      <w:r w:rsidRPr="00462342">
        <w:t>SafeMed</w:t>
      </w:r>
      <w:proofErr w:type="spellEnd"/>
      <w:r w:rsidRPr="00462342">
        <w:t> inclui a possibilidade de confirmar a toma em tempo real através de um botão, permitindo manter um registo atualizado e reduzir o risco de erros, como a duplicação de doses. </w:t>
      </w:r>
    </w:p>
    <w:p w14:paraId="30AA4A85" w14:textId="77777777" w:rsidR="00462342" w:rsidRPr="00462342" w:rsidRDefault="00462342" w:rsidP="00462342">
      <w:r w:rsidRPr="00462342">
        <w:t>No âmbito do processamento de prescrições via OCR, a introdução manual de informação pode ser demorada e propensa a erros, levando muitas vezes ao abandono da aplicação. Para evitar este problema, foi implementada a funcionalidade de leitura de receitas médicas através de reconhecimento ótico de caracteres, uma abordagem identificada como relevante na literatura para melhorar a usabilidade e reduzir erros (</w:t>
      </w:r>
      <w:proofErr w:type="spellStart"/>
      <w:r w:rsidRPr="00462342">
        <w:t>Alharbi</w:t>
      </w:r>
      <w:proofErr w:type="spellEnd"/>
      <w:r w:rsidRPr="00462342">
        <w:t> </w:t>
      </w:r>
      <w:proofErr w:type="spellStart"/>
      <w:r w:rsidRPr="00462342">
        <w:t>et</w:t>
      </w:r>
      <w:proofErr w:type="spellEnd"/>
      <w:r w:rsidRPr="00462342">
        <w:t> al., 2026). </w:t>
      </w:r>
    </w:p>
    <w:p w14:paraId="0FF98D50" w14:textId="77777777" w:rsidR="00462342" w:rsidRPr="00462342" w:rsidRDefault="00462342" w:rsidP="00462342">
      <w:r w:rsidRPr="00462342">
        <w:t>Por fim, no que se refere ao mecanismo de avaliação de risco e deteção de interações medicamentosas, estudos apontam limitações nas aplicações existentes, tanto ao nível da precisão como ao da usabilidade (</w:t>
      </w:r>
      <w:proofErr w:type="spellStart"/>
      <w:r w:rsidRPr="00462342">
        <w:t>Bhattacharya</w:t>
      </w:r>
      <w:proofErr w:type="spellEnd"/>
      <w:r w:rsidRPr="00462342">
        <w:t> &amp; </w:t>
      </w:r>
      <w:proofErr w:type="spellStart"/>
      <w:r w:rsidRPr="00462342">
        <w:t>Florez-Arango</w:t>
      </w:r>
      <w:proofErr w:type="spellEnd"/>
      <w:r w:rsidRPr="00462342">
        <w:t>, 2025). Para responder a esta falha, a </w:t>
      </w:r>
      <w:proofErr w:type="spellStart"/>
      <w:r w:rsidRPr="00462342">
        <w:t>SafeMed</w:t>
      </w:r>
      <w:proofErr w:type="spellEnd"/>
      <w:r w:rsidRPr="00462342">
        <w:t> integra um motor de regras que analisa automaticamente as prescrições em função do perfil do utilizador, identificando potenciais interações e contraindicações. O risco é apresentado de forma simples, através de um sistema visual baseado em cores. </w:t>
      </w:r>
    </w:p>
    <w:p w14:paraId="73AEE3FE" w14:textId="77777777" w:rsidR="00462342" w:rsidRPr="00462342" w:rsidRDefault="00462342" w:rsidP="00462342">
      <w:r w:rsidRPr="00462342">
        <w:rPr>
          <w:b/>
          <w:bCs/>
        </w:rPr>
        <w:t>2.4. Análise Comparativa de Soluções Existentes</w:t>
      </w:r>
      <w:r w:rsidRPr="00462342">
        <w:t> </w:t>
      </w:r>
    </w:p>
    <w:p w14:paraId="176D6E61" w14:textId="77777777" w:rsidR="00462342" w:rsidRPr="00462342" w:rsidRDefault="00462342" w:rsidP="00462342">
      <w:r w:rsidRPr="00462342">
        <w:t>No panorama atual, existem várias aplicações dedicadas à gestão da medicação, sendo o </w:t>
      </w:r>
      <w:proofErr w:type="spellStart"/>
      <w:r w:rsidRPr="00462342">
        <w:rPr>
          <w:i/>
          <w:iCs/>
        </w:rPr>
        <w:t>Medisafe</w:t>
      </w:r>
      <w:proofErr w:type="spellEnd"/>
      <w:r w:rsidRPr="00462342">
        <w:t> uma das mais conhecidas. Ainda assim, muitas destas soluções apresentam limitações, sobretudo no que diz respeito à literacia em saúde e à transparência da informação fornecida ao utilizador. </w:t>
      </w:r>
    </w:p>
    <w:p w14:paraId="5C303051" w14:textId="77777777" w:rsidR="00462342" w:rsidRPr="00462342" w:rsidRDefault="00462342" w:rsidP="00462342">
      <w:r w:rsidRPr="00462342">
        <w:lastRenderedPageBreak/>
        <w:t>A </w:t>
      </w:r>
      <w:proofErr w:type="spellStart"/>
      <w:r w:rsidRPr="00462342">
        <w:t>SafeMed</w:t>
      </w:r>
      <w:proofErr w:type="spellEnd"/>
      <w:r w:rsidRPr="00462342">
        <w:t> procura diferenciar-se precisamente nesses aspetos, assentando em três eixos principais. Em primeiro lugar, destaca-se a introdução inteligente de receitas, permitindo a leitura automática através de OCR, ao contrário da maioria das aplicações que dependem de introdução manual ou leitura de códigos de barras. Em segundo lugar, a aplicação demonstra uma abordagem mais visual e uma gestão </w:t>
      </w:r>
      <w:proofErr w:type="spellStart"/>
      <w:r w:rsidRPr="00462342">
        <w:t>multiperfil</w:t>
      </w:r>
      <w:proofErr w:type="spellEnd"/>
      <w:r w:rsidRPr="00462342">
        <w:t>, facilitando a utilização em contexto familiar. Por último, inclui um sistema de avaliação de risco local e transparente, que não depende de funcionalidades premium e apresenta a informação de forma clara e acessível. </w:t>
      </w:r>
    </w:p>
    <w:p w14:paraId="3FBA6C4B" w14:textId="77777777" w:rsidR="00462342" w:rsidRPr="00462342" w:rsidRDefault="00462342" w:rsidP="00462342">
      <w:r w:rsidRPr="00462342">
        <w:rPr>
          <w:i/>
          <w:iCs/>
        </w:rPr>
        <w:t>Tabela 1 - Comparação funcional entre o estado da arte e a </w:t>
      </w:r>
      <w:proofErr w:type="spellStart"/>
      <w:r w:rsidRPr="00462342">
        <w:rPr>
          <w:i/>
          <w:iCs/>
        </w:rPr>
        <w:t>SafeMed</w:t>
      </w:r>
      <w:proofErr w:type="spellEnd"/>
      <w:r w:rsidRPr="00462342">
        <w:rPr>
          <w:i/>
          <w:iCs/>
        </w:rPr>
        <w:t>.</w:t>
      </w:r>
      <w:r w:rsidRPr="00462342">
        <w:t> </w:t>
      </w:r>
    </w:p>
    <w:tbl>
      <w:tblPr>
        <w:tblW w:w="0" w:type="dxa"/>
        <w:tblInd w:w="-16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5"/>
        <w:gridCol w:w="2130"/>
        <w:gridCol w:w="4665"/>
      </w:tblGrid>
      <w:tr w:rsidR="00462342" w:rsidRPr="00462342" w14:paraId="7DD2EF6A" w14:textId="77777777">
        <w:trPr>
          <w:trHeight w:val="300"/>
        </w:trPr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93D0E" w14:textId="77777777" w:rsidR="00462342" w:rsidRPr="00462342" w:rsidRDefault="00462342" w:rsidP="00462342">
            <w:r w:rsidRPr="00462342">
              <w:rPr>
                <w:b/>
                <w:bCs/>
              </w:rPr>
              <w:t>Funcionalidade</w:t>
            </w:r>
            <w:r w:rsidRPr="00462342"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82AB0" w14:textId="77777777" w:rsidR="00462342" w:rsidRPr="00462342" w:rsidRDefault="00462342" w:rsidP="00462342">
            <w:proofErr w:type="spellStart"/>
            <w:r w:rsidRPr="00462342">
              <w:rPr>
                <w:b/>
                <w:bCs/>
              </w:rPr>
              <w:t>Medisafe</w:t>
            </w:r>
            <w:proofErr w:type="spellEnd"/>
            <w:r w:rsidRPr="00462342">
              <w:t> </w:t>
            </w:r>
          </w:p>
        </w:tc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A6B4B" w14:textId="77777777" w:rsidR="00462342" w:rsidRPr="00462342" w:rsidRDefault="00462342" w:rsidP="00462342">
            <w:proofErr w:type="spellStart"/>
            <w:r w:rsidRPr="00462342">
              <w:rPr>
                <w:b/>
                <w:bCs/>
              </w:rPr>
              <w:t>SafeMed</w:t>
            </w:r>
            <w:proofErr w:type="spellEnd"/>
            <w:r w:rsidRPr="00462342">
              <w:rPr>
                <w:b/>
                <w:bCs/>
              </w:rPr>
              <w:t> (Objetivos 2, 4, 5 e 6)</w:t>
            </w:r>
            <w:r w:rsidRPr="00462342">
              <w:t> </w:t>
            </w:r>
          </w:p>
        </w:tc>
      </w:tr>
      <w:tr w:rsidR="00462342" w:rsidRPr="00462342" w14:paraId="38AD9AB6" w14:textId="77777777">
        <w:trPr>
          <w:trHeight w:val="300"/>
        </w:trPr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7A72D" w14:textId="77777777" w:rsidR="00462342" w:rsidRPr="00462342" w:rsidRDefault="00462342" w:rsidP="00462342">
            <w:r w:rsidRPr="00462342">
              <w:rPr>
                <w:b/>
                <w:bCs/>
              </w:rPr>
              <w:t>Planeamento e Registo de Tomas</w:t>
            </w:r>
            <w:r w:rsidRPr="00462342"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531F5" w14:textId="77777777" w:rsidR="00462342" w:rsidRPr="00462342" w:rsidRDefault="00462342" w:rsidP="00462342">
            <w:r w:rsidRPr="00462342">
              <w:t>Sim </w:t>
            </w:r>
          </w:p>
        </w:tc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A37DA" w14:textId="77777777" w:rsidR="00462342" w:rsidRPr="00462342" w:rsidRDefault="00462342" w:rsidP="00462342">
            <w:r w:rsidRPr="00462342">
              <w:rPr>
                <w:b/>
                <w:bCs/>
              </w:rPr>
              <w:t>Sim (com botão interativo de confirmação)</w:t>
            </w:r>
            <w:r w:rsidRPr="00462342">
              <w:t> </w:t>
            </w:r>
          </w:p>
        </w:tc>
      </w:tr>
      <w:tr w:rsidR="00462342" w:rsidRPr="00462342" w14:paraId="49CBD45A" w14:textId="77777777">
        <w:trPr>
          <w:trHeight w:val="450"/>
        </w:trPr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4FCE6" w14:textId="77777777" w:rsidR="00462342" w:rsidRPr="00462342" w:rsidRDefault="00462342" w:rsidP="00462342">
            <w:r w:rsidRPr="00462342">
              <w:rPr>
                <w:b/>
                <w:bCs/>
              </w:rPr>
              <w:t>Introdução de Receitas Médicas</w:t>
            </w:r>
            <w:r w:rsidRPr="00462342"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6FA03" w14:textId="77777777" w:rsidR="00462342" w:rsidRPr="00462342" w:rsidRDefault="00462342" w:rsidP="00462342">
            <w:r w:rsidRPr="00462342">
              <w:t>Manual / Código de Barras </w:t>
            </w:r>
          </w:p>
        </w:tc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24C0A" w14:textId="77777777" w:rsidR="00462342" w:rsidRPr="00462342" w:rsidRDefault="00462342" w:rsidP="00462342">
            <w:r w:rsidRPr="00462342">
              <w:rPr>
                <w:b/>
                <w:bCs/>
              </w:rPr>
              <w:t>Manual, PDF e Fotografia via OCR</w:t>
            </w:r>
            <w:r w:rsidRPr="00462342">
              <w:t> </w:t>
            </w:r>
          </w:p>
        </w:tc>
      </w:tr>
      <w:tr w:rsidR="00462342" w:rsidRPr="00462342" w14:paraId="41878C89" w14:textId="77777777">
        <w:trPr>
          <w:trHeight w:val="300"/>
        </w:trPr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E6DCB" w14:textId="77777777" w:rsidR="00462342" w:rsidRPr="00462342" w:rsidRDefault="00462342" w:rsidP="00462342">
            <w:r w:rsidRPr="00462342">
              <w:rPr>
                <w:b/>
                <w:bCs/>
              </w:rPr>
              <w:t>Definição de Patologias</w:t>
            </w:r>
            <w:r w:rsidRPr="00462342"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6CA34" w14:textId="77777777" w:rsidR="00462342" w:rsidRPr="00462342" w:rsidRDefault="00462342" w:rsidP="00462342">
            <w:r w:rsidRPr="00462342">
              <w:t>Lista de texto </w:t>
            </w:r>
          </w:p>
        </w:tc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81557" w14:textId="77777777" w:rsidR="00462342" w:rsidRPr="00462342" w:rsidRDefault="00462342" w:rsidP="00462342">
            <w:r w:rsidRPr="00462342">
              <w:rPr>
                <w:b/>
                <w:bCs/>
              </w:rPr>
              <w:t>Lista de texto + Seleção visual por órgãos</w:t>
            </w:r>
            <w:r w:rsidRPr="00462342">
              <w:t> </w:t>
            </w:r>
          </w:p>
        </w:tc>
      </w:tr>
      <w:tr w:rsidR="00462342" w:rsidRPr="00462342" w14:paraId="6CA879D2" w14:textId="77777777">
        <w:trPr>
          <w:trHeight w:val="300"/>
        </w:trPr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74D33" w14:textId="77777777" w:rsidR="00462342" w:rsidRPr="00462342" w:rsidRDefault="00462342" w:rsidP="00462342">
            <w:r w:rsidRPr="00462342">
              <w:rPr>
                <w:b/>
                <w:bCs/>
              </w:rPr>
              <w:t>Motor de Risco (DDI)</w:t>
            </w:r>
            <w:r w:rsidRPr="00462342"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94071" w14:textId="77777777" w:rsidR="00462342" w:rsidRPr="00462342" w:rsidRDefault="00462342" w:rsidP="00462342">
            <w:r w:rsidRPr="00462342">
              <w:t>Limitado na versão base </w:t>
            </w:r>
          </w:p>
        </w:tc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A219E" w14:textId="77777777" w:rsidR="00462342" w:rsidRPr="00462342" w:rsidRDefault="00462342" w:rsidP="00462342">
            <w:r w:rsidRPr="00462342">
              <w:rPr>
                <w:b/>
                <w:bCs/>
              </w:rPr>
              <w:t>Sim (Motor de regras determinístico)</w:t>
            </w:r>
            <w:r w:rsidRPr="00462342">
              <w:t> </w:t>
            </w:r>
          </w:p>
        </w:tc>
      </w:tr>
      <w:tr w:rsidR="00462342" w:rsidRPr="00462342" w14:paraId="562E4919" w14:textId="77777777">
        <w:trPr>
          <w:trHeight w:val="300"/>
        </w:trPr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65BD0" w14:textId="77777777" w:rsidR="00462342" w:rsidRPr="00462342" w:rsidRDefault="00462342" w:rsidP="00462342">
            <w:r w:rsidRPr="00462342">
              <w:rPr>
                <w:b/>
                <w:bCs/>
              </w:rPr>
              <w:t>Alertas Visuais de Risco</w:t>
            </w:r>
            <w:r w:rsidRPr="00462342"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CEB0B" w14:textId="77777777" w:rsidR="00462342" w:rsidRPr="00462342" w:rsidRDefault="00462342" w:rsidP="00462342">
            <w:r w:rsidRPr="00462342">
              <w:t>Avisos textuais </w:t>
            </w:r>
          </w:p>
        </w:tc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1CC7B" w14:textId="77777777" w:rsidR="00462342" w:rsidRPr="00462342" w:rsidRDefault="00462342" w:rsidP="00462342">
            <w:r w:rsidRPr="00462342">
              <w:rPr>
                <w:b/>
                <w:bCs/>
              </w:rPr>
              <w:t>Classificação de riscos baseada no perfil //////por cores (Verde a Vermelho)</w:t>
            </w:r>
            <w:r w:rsidRPr="00462342">
              <w:t> </w:t>
            </w:r>
          </w:p>
        </w:tc>
      </w:tr>
      <w:tr w:rsidR="00462342" w:rsidRPr="00462342" w14:paraId="1072610C" w14:textId="77777777">
        <w:trPr>
          <w:trHeight w:val="300"/>
        </w:trPr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729AF" w14:textId="77777777" w:rsidR="00462342" w:rsidRPr="00462342" w:rsidRDefault="00462342" w:rsidP="00462342">
            <w:r w:rsidRPr="00462342">
              <w:rPr>
                <w:b/>
                <w:bCs/>
              </w:rPr>
              <w:t>Privacidade de Dados</w:t>
            </w:r>
            <w:r w:rsidRPr="00462342"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7041A" w14:textId="77777777" w:rsidR="00462342" w:rsidRPr="00462342" w:rsidRDefault="00462342" w:rsidP="00462342">
            <w:r w:rsidRPr="00462342">
              <w:t>Baseado na </w:t>
            </w:r>
            <w:proofErr w:type="spellStart"/>
            <w:r w:rsidRPr="00462342">
              <w:rPr>
                <w:i/>
                <w:iCs/>
              </w:rPr>
              <w:t>Cloud</w:t>
            </w:r>
            <w:proofErr w:type="spellEnd"/>
            <w:r w:rsidRPr="00462342">
              <w:t> </w:t>
            </w:r>
          </w:p>
        </w:tc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53802" w14:textId="77777777" w:rsidR="00462342" w:rsidRPr="00462342" w:rsidRDefault="00462342" w:rsidP="00462342">
            <w:r w:rsidRPr="00462342">
              <w:rPr>
                <w:b/>
                <w:bCs/>
              </w:rPr>
              <w:t>Armazenamento local (conformidade RGPD)</w:t>
            </w:r>
            <w:r w:rsidRPr="00462342">
              <w:t> </w:t>
            </w:r>
          </w:p>
        </w:tc>
      </w:tr>
    </w:tbl>
    <w:p w14:paraId="0F01C54E" w14:textId="77777777" w:rsidR="00462342" w:rsidRPr="00462342" w:rsidRDefault="00462342" w:rsidP="00462342">
      <w:r w:rsidRPr="00462342">
        <w:rPr>
          <w:b/>
          <w:bCs/>
        </w:rPr>
        <w:t>2.5. Decisão Tecnológica: Cross-</w:t>
      </w:r>
      <w:proofErr w:type="spellStart"/>
      <w:r w:rsidRPr="00462342">
        <w:rPr>
          <w:b/>
          <w:bCs/>
        </w:rPr>
        <w:t>Platform</w:t>
      </w:r>
      <w:proofErr w:type="spellEnd"/>
      <w:r w:rsidRPr="00462342">
        <w:rPr>
          <w:b/>
          <w:bCs/>
        </w:rPr>
        <w:t> e Armazenamento Local</w:t>
      </w:r>
      <w:r w:rsidRPr="00462342">
        <w:t> </w:t>
      </w:r>
    </w:p>
    <w:p w14:paraId="51FB00CD" w14:textId="77777777" w:rsidR="00462342" w:rsidRPr="00462342" w:rsidRDefault="00462342" w:rsidP="00462342">
      <w:r w:rsidRPr="00462342">
        <w:t>Para garantir o funcionamento correto da lógica de apoio à decisão e da gestão de dados anteriormente descritas, a arquitetura de software assume um papel fundamental. Neste contexto, a escolha do </w:t>
      </w:r>
      <w:proofErr w:type="spellStart"/>
      <w:r w:rsidRPr="00462342">
        <w:t>framework</w:t>
      </w:r>
      <w:proofErr w:type="spellEnd"/>
      <w:r w:rsidRPr="00462342">
        <w:t> multiplataforma Flutter prende-se com a necessidade de assegurar um bom desempenho, tanto ao nível da interface gráfica como na execução local da lógica associada à aplicação. Esta é, aliás, uma opção frequentemente referida na literatura como adequada para o desenvolvimento de soluções </w:t>
      </w:r>
      <w:proofErr w:type="spellStart"/>
      <w:r w:rsidRPr="00462342">
        <w:t>mHealth</w:t>
      </w:r>
      <w:proofErr w:type="spellEnd"/>
      <w:r w:rsidRPr="00462342">
        <w:t>, especialmente em fases iniciais da modelação do produto (</w:t>
      </w:r>
      <w:proofErr w:type="spellStart"/>
      <w:r w:rsidRPr="00462342">
        <w:t>Mamoun</w:t>
      </w:r>
      <w:proofErr w:type="spellEnd"/>
      <w:r w:rsidRPr="00462342">
        <w:t> </w:t>
      </w:r>
      <w:proofErr w:type="spellStart"/>
      <w:r w:rsidRPr="00462342">
        <w:t>et</w:t>
      </w:r>
      <w:proofErr w:type="spellEnd"/>
      <w:r w:rsidRPr="00462342">
        <w:t> al., 2021). </w:t>
      </w:r>
    </w:p>
    <w:p w14:paraId="255A8C8B" w14:textId="77777777" w:rsidR="00462342" w:rsidRPr="00462342" w:rsidRDefault="00462342" w:rsidP="00462342">
      <w:r w:rsidRPr="00462342">
        <w:t>Uma das principais vantagens do Flutter está no facto de compilar diretamente para código "base" (ARM), o que permite evitar a espera normalmente associada a </w:t>
      </w:r>
      <w:proofErr w:type="spellStart"/>
      <w:r w:rsidRPr="00462342">
        <w:rPr>
          <w:i/>
          <w:iCs/>
        </w:rPr>
        <w:t>frameworks</w:t>
      </w:r>
      <w:proofErr w:type="spellEnd"/>
      <w:r w:rsidRPr="00462342">
        <w:rPr>
          <w:i/>
          <w:iCs/>
        </w:rPr>
        <w:t> </w:t>
      </w:r>
      <w:r w:rsidRPr="00462342">
        <w:t>híbridos. Na prática, isto traduz-se numa experiência mais fluida para o utilizador, tanto em dispositivos iOS como Android, algo particularmente importante numa aplicação que exige interação frequente e resposta imediata. </w:t>
      </w:r>
    </w:p>
    <w:p w14:paraId="1DCE82B2" w14:textId="77777777" w:rsidR="00462342" w:rsidRPr="00462342" w:rsidRDefault="00462342" w:rsidP="00462342">
      <w:r w:rsidRPr="00462342">
        <w:lastRenderedPageBreak/>
        <w:t>Para além disso, tendo em conta a natureza sensível dos dados clínicos e a possibilidade de existência de múltiplos perfis de utilizador, a arquitetura da </w:t>
      </w:r>
      <w:proofErr w:type="spellStart"/>
      <w:r w:rsidRPr="00462342">
        <w:t>SafeMed</w:t>
      </w:r>
      <w:proofErr w:type="spellEnd"/>
      <w:r w:rsidRPr="00462342">
        <w:t> foi pensada com um forte foco na segurança e na privacidade. Em conformidade com o Regulamento Geral de Proteção de Dados (RGPD), optou-se pela utilização de armazenamento local, recorrendo, por exemplo, a </w:t>
      </w:r>
      <w:proofErr w:type="spellStart"/>
      <w:r w:rsidRPr="00462342">
        <w:t>SQLite</w:t>
      </w:r>
      <w:proofErr w:type="spellEnd"/>
      <w:r w:rsidRPr="00462342">
        <w:t>. </w:t>
      </w:r>
    </w:p>
    <w:p w14:paraId="1678A41C" w14:textId="77777777" w:rsidR="00462342" w:rsidRPr="00462342" w:rsidRDefault="00462342" w:rsidP="00462342">
      <w:r w:rsidRPr="00462342">
        <w:t>Adicionalmente, toda a lógica associada à avaliação de risco é executada diretamente no dispositivo do utilizador. Esta abordagem está alinhada com preocupações identificadas na literatura relativamente à privacidade e à qualidade das funcionalidades de deteção de interações medicamentosas em aplicações móveis (</w:t>
      </w:r>
      <w:proofErr w:type="spellStart"/>
      <w:r w:rsidRPr="00462342">
        <w:t>Bhattacharya</w:t>
      </w:r>
      <w:proofErr w:type="spellEnd"/>
      <w:r w:rsidRPr="00462342">
        <w:t> &amp; </w:t>
      </w:r>
      <w:proofErr w:type="spellStart"/>
      <w:r w:rsidRPr="00462342">
        <w:t>Florez-Arango</w:t>
      </w:r>
      <w:proofErr w:type="spellEnd"/>
      <w:r w:rsidRPr="00462342">
        <w:t>, 2025). Para além disso, soluções baseadas em OCR para o processamento de prescrições médicas têm sido apontadas como relevantes para reduzir erros de introdução de dados e melhorar a usabilidade destas aplicações (</w:t>
      </w:r>
      <w:proofErr w:type="spellStart"/>
      <w:r w:rsidRPr="00462342">
        <w:t>Alharbi</w:t>
      </w:r>
      <w:proofErr w:type="spellEnd"/>
      <w:r w:rsidRPr="00462342">
        <w:t> </w:t>
      </w:r>
      <w:proofErr w:type="spellStart"/>
      <w:r w:rsidRPr="00462342">
        <w:t>et</w:t>
      </w:r>
      <w:proofErr w:type="spellEnd"/>
      <w:r w:rsidRPr="00462342">
        <w:t> al., 2026). </w:t>
      </w:r>
    </w:p>
    <w:p w14:paraId="2D3C778D" w14:textId="77777777" w:rsidR="00462342" w:rsidRPr="00462342" w:rsidRDefault="00462342" w:rsidP="00462342">
      <w:r w:rsidRPr="00462342">
        <w:t> </w:t>
      </w:r>
    </w:p>
    <w:p w14:paraId="03C32A9A" w14:textId="77777777" w:rsidR="00462342" w:rsidRPr="00462342" w:rsidRDefault="00462342" w:rsidP="00462342">
      <w:r w:rsidRPr="00462342">
        <w:t> </w:t>
      </w:r>
    </w:p>
    <w:p w14:paraId="71460945" w14:textId="77777777" w:rsidR="00462342" w:rsidRPr="00462342" w:rsidRDefault="00462342" w:rsidP="00462342">
      <w:r w:rsidRPr="00462342">
        <w:t> </w:t>
      </w:r>
    </w:p>
    <w:p w14:paraId="26DE862B" w14:textId="77777777" w:rsidR="00462342" w:rsidRPr="00462342" w:rsidRDefault="00462342" w:rsidP="00462342">
      <w:r w:rsidRPr="00462342">
        <w:t>Desta forma, evita-se o envio de dados clínicos identificáveis para servidores externos, garantindo maior controlo sobre a informação e reforçando a privacidade. Esta abordagem permite também que o utilizador mantenha total autonomia sobre os seus dados. </w:t>
      </w:r>
    </w:p>
    <w:p w14:paraId="41CDDAE4" w14:textId="77777777" w:rsidR="00462342" w:rsidRPr="00462342" w:rsidRDefault="00462342" w:rsidP="00462342">
      <w:r w:rsidRPr="00462342">
        <w:t> </w:t>
      </w:r>
    </w:p>
    <w:p w14:paraId="11532A4F" w14:textId="77777777" w:rsidR="00462342" w:rsidRPr="00462342" w:rsidRDefault="00462342" w:rsidP="00462342">
      <w:proofErr w:type="gramStart"/>
      <w:r w:rsidRPr="00462342">
        <w:rPr>
          <w:b/>
          <w:bCs/>
        </w:rPr>
        <w:t>REFERENCIAS(</w:t>
      </w:r>
      <w:proofErr w:type="gramEnd"/>
      <w:r w:rsidRPr="00462342">
        <w:rPr>
          <w:b/>
          <w:bCs/>
        </w:rPr>
        <w:t>POR NO FINAL)</w:t>
      </w:r>
      <w:r w:rsidRPr="00462342">
        <w:t> </w:t>
      </w:r>
    </w:p>
    <w:p w14:paraId="3E8AC522" w14:textId="77777777" w:rsidR="00462342" w:rsidRPr="00462342" w:rsidRDefault="00462342" w:rsidP="00462342">
      <w:pPr>
        <w:rPr>
          <w:lang w:val="en-US"/>
        </w:rPr>
      </w:pPr>
      <w:proofErr w:type="spellStart"/>
      <w:r w:rsidRPr="00462342">
        <w:rPr>
          <w:b/>
          <w:bCs/>
        </w:rPr>
        <w:t>Alharbi</w:t>
      </w:r>
      <w:proofErr w:type="spellEnd"/>
      <w:r w:rsidRPr="00462342">
        <w:rPr>
          <w:b/>
          <w:bCs/>
        </w:rPr>
        <w:t>, O., </w:t>
      </w:r>
      <w:proofErr w:type="spellStart"/>
      <w:r w:rsidRPr="00462342">
        <w:rPr>
          <w:b/>
          <w:bCs/>
        </w:rPr>
        <w:t>et</w:t>
      </w:r>
      <w:proofErr w:type="spellEnd"/>
      <w:r w:rsidRPr="00462342">
        <w:rPr>
          <w:b/>
          <w:bCs/>
        </w:rPr>
        <w:t> al.</w:t>
      </w:r>
      <w:r w:rsidRPr="00462342">
        <w:t> </w:t>
      </w:r>
      <w:r w:rsidRPr="00462342">
        <w:rPr>
          <w:lang w:val="en-US"/>
        </w:rPr>
        <w:t>(2026). Designing an OCR-Based Medication Support System </w:t>
      </w:r>
      <w:proofErr w:type="gramStart"/>
      <w:r w:rsidRPr="00462342">
        <w:rPr>
          <w:lang w:val="en-US"/>
        </w:rPr>
        <w:t>With</w:t>
      </w:r>
      <w:proofErr w:type="gramEnd"/>
      <w:r w:rsidRPr="00462342">
        <w:rPr>
          <w:lang w:val="en-US"/>
        </w:rPr>
        <w:t> Drug–Drug Interaction Alerts for Elderly. </w:t>
      </w:r>
      <w:r w:rsidRPr="00462342">
        <w:rPr>
          <w:i/>
          <w:iCs/>
          <w:lang w:val="en-US"/>
        </w:rPr>
        <w:t>IEEE Access</w:t>
      </w:r>
      <w:r w:rsidRPr="00462342">
        <w:rPr>
          <w:lang w:val="en-US"/>
        </w:rPr>
        <w:t>. </w:t>
      </w:r>
    </w:p>
    <w:p w14:paraId="6CB9782C" w14:textId="77777777" w:rsidR="00462342" w:rsidRPr="00462342" w:rsidRDefault="00462342" w:rsidP="00462342">
      <w:pPr>
        <w:rPr>
          <w:lang w:val="en-US"/>
        </w:rPr>
      </w:pPr>
      <w:r w:rsidRPr="00462342">
        <w:rPr>
          <w:b/>
          <w:bCs/>
          <w:lang w:val="en-US"/>
        </w:rPr>
        <w:t>Bhattacharya, A., &amp; Florez-Arango, J. F.</w:t>
      </w:r>
      <w:r w:rsidRPr="00462342">
        <w:rPr>
          <w:lang w:val="en-US"/>
        </w:rPr>
        <w:t> (2025). Investigating the Quality of Mobile Apps for Drug-Drug Interaction Management Using the Mobile App Rating Scale and K-Means Clustering: Systematic Search of App Stores. </w:t>
      </w:r>
      <w:r w:rsidRPr="00462342">
        <w:rPr>
          <w:i/>
          <w:iCs/>
          <w:lang w:val="en-US"/>
        </w:rPr>
        <w:t>JMIR mHealth and </w:t>
      </w:r>
      <w:proofErr w:type="spellStart"/>
      <w:r w:rsidRPr="00462342">
        <w:rPr>
          <w:i/>
          <w:iCs/>
          <w:lang w:val="en-US"/>
        </w:rPr>
        <w:t>uHealth</w:t>
      </w:r>
      <w:proofErr w:type="spellEnd"/>
      <w:r w:rsidRPr="00462342">
        <w:rPr>
          <w:i/>
          <w:iCs/>
          <w:lang w:val="en-US"/>
        </w:rPr>
        <w:t>, 13</w:t>
      </w:r>
      <w:r w:rsidRPr="00462342">
        <w:rPr>
          <w:lang w:val="en-US"/>
        </w:rPr>
        <w:t>, e65927. </w:t>
      </w:r>
    </w:p>
    <w:p w14:paraId="2244337C" w14:textId="77777777" w:rsidR="00462342" w:rsidRPr="00462342" w:rsidRDefault="00462342" w:rsidP="00462342">
      <w:pPr>
        <w:rPr>
          <w:lang w:val="en-US"/>
        </w:rPr>
      </w:pPr>
      <w:r w:rsidRPr="00462342">
        <w:rPr>
          <w:b/>
          <w:bCs/>
          <w:lang w:val="en-US"/>
        </w:rPr>
        <w:t>de Souza Ferreira, E., et al.</w:t>
      </w:r>
      <w:r w:rsidRPr="00462342">
        <w:rPr>
          <w:lang w:val="en-US"/>
        </w:rPr>
        <w:t> (2023). The effectiveness of mobile application for monitoring diabetes mellitus and hypertension in the adult and elderly population: systematic review and meta-analysis. </w:t>
      </w:r>
      <w:r w:rsidRPr="00462342">
        <w:rPr>
          <w:i/>
          <w:iCs/>
          <w:lang w:val="en-US"/>
        </w:rPr>
        <w:t>BMC Health Services Research, 23</w:t>
      </w:r>
      <w:r w:rsidRPr="00462342">
        <w:rPr>
          <w:lang w:val="en-US"/>
        </w:rPr>
        <w:t>(1), 855. </w:t>
      </w:r>
    </w:p>
    <w:p w14:paraId="2D77ED7F" w14:textId="77777777" w:rsidR="00462342" w:rsidRPr="00462342" w:rsidRDefault="00462342" w:rsidP="00462342">
      <w:pPr>
        <w:rPr>
          <w:lang w:val="en-US"/>
        </w:rPr>
      </w:pPr>
      <w:r w:rsidRPr="00462342">
        <w:rPr>
          <w:b/>
          <w:bCs/>
          <w:lang w:val="en-US"/>
        </w:rPr>
        <w:t>Huang, Z., et al.</w:t>
      </w:r>
      <w:r w:rsidRPr="00462342">
        <w:rPr>
          <w:lang w:val="en-US"/>
        </w:rPr>
        <w:t> (2024). Exploration of Features of Mobile Applications for Medication Adherence in Asia: Narrative Review. </w:t>
      </w:r>
      <w:r w:rsidRPr="00462342">
        <w:rPr>
          <w:i/>
          <w:iCs/>
          <w:lang w:val="en-US"/>
        </w:rPr>
        <w:t>JMIR mHealth and </w:t>
      </w:r>
      <w:proofErr w:type="spellStart"/>
      <w:r w:rsidRPr="00462342">
        <w:rPr>
          <w:i/>
          <w:iCs/>
          <w:lang w:val="en-US"/>
        </w:rPr>
        <w:t>uHealth</w:t>
      </w:r>
      <w:proofErr w:type="spellEnd"/>
      <w:r w:rsidRPr="00462342">
        <w:rPr>
          <w:i/>
          <w:iCs/>
          <w:lang w:val="en-US"/>
        </w:rPr>
        <w:t>, 12</w:t>
      </w:r>
      <w:r w:rsidRPr="00462342">
        <w:rPr>
          <w:lang w:val="en-US"/>
        </w:rPr>
        <w:t>, e60787. </w:t>
      </w:r>
    </w:p>
    <w:p w14:paraId="6CDEE59E" w14:textId="77777777" w:rsidR="00462342" w:rsidRPr="00462342" w:rsidRDefault="00462342" w:rsidP="00462342">
      <w:pPr>
        <w:rPr>
          <w:lang w:val="en-US"/>
        </w:rPr>
      </w:pPr>
      <w:r w:rsidRPr="00462342">
        <w:rPr>
          <w:b/>
          <w:bCs/>
          <w:lang w:val="en-US"/>
        </w:rPr>
        <w:lastRenderedPageBreak/>
        <w:t>Kim, B. Y. B., et al.</w:t>
      </w:r>
      <w:r w:rsidRPr="00462342">
        <w:rPr>
          <w:lang w:val="en-US"/>
        </w:rPr>
        <w:t> (2018). Consumer Mobile Apps for Potential Drug-Drug Interaction Check: Systematic Review and Content Analysis Using the Mobile App Rating Scale (MARS). </w:t>
      </w:r>
      <w:r w:rsidRPr="00462342">
        <w:rPr>
          <w:i/>
          <w:iCs/>
          <w:lang w:val="en-US"/>
        </w:rPr>
        <w:t>JMIR mHealth and </w:t>
      </w:r>
      <w:proofErr w:type="spellStart"/>
      <w:r w:rsidRPr="00462342">
        <w:rPr>
          <w:i/>
          <w:iCs/>
          <w:lang w:val="en-US"/>
        </w:rPr>
        <w:t>uHealth</w:t>
      </w:r>
      <w:proofErr w:type="spellEnd"/>
      <w:r w:rsidRPr="00462342">
        <w:rPr>
          <w:i/>
          <w:iCs/>
          <w:lang w:val="en-US"/>
        </w:rPr>
        <w:t>, 6</w:t>
      </w:r>
      <w:r w:rsidRPr="00462342">
        <w:rPr>
          <w:lang w:val="en-US"/>
        </w:rPr>
        <w:t>(3), e74. </w:t>
      </w:r>
    </w:p>
    <w:p w14:paraId="3E1BDF5A" w14:textId="77777777" w:rsidR="00462342" w:rsidRPr="00462342" w:rsidRDefault="00462342" w:rsidP="00462342">
      <w:pPr>
        <w:rPr>
          <w:lang w:val="en-US"/>
        </w:rPr>
      </w:pPr>
      <w:r w:rsidRPr="00462342">
        <w:rPr>
          <w:b/>
          <w:bCs/>
          <w:lang w:val="en-US"/>
        </w:rPr>
        <w:t>Kim, S. K., et al.</w:t>
      </w:r>
      <w:r w:rsidRPr="00462342">
        <w:rPr>
          <w:lang w:val="en-US"/>
        </w:rPr>
        <w:t xml:space="preserve"> (2025). Effectiveness of Mobile Health Intervention in Medication Adherence: </w:t>
      </w:r>
      <w:proofErr w:type="gramStart"/>
      <w:r w:rsidRPr="00462342">
        <w:rPr>
          <w:lang w:val="en-US"/>
        </w:rPr>
        <w:t>a</w:t>
      </w:r>
      <w:proofErr w:type="gramEnd"/>
      <w:r w:rsidRPr="00462342">
        <w:rPr>
          <w:lang w:val="en-US"/>
        </w:rPr>
        <w:t> Systematic Review and Meta-Analysis. </w:t>
      </w:r>
      <w:r w:rsidRPr="00462342">
        <w:rPr>
          <w:i/>
          <w:iCs/>
          <w:lang w:val="en-US"/>
        </w:rPr>
        <w:t>Journal of Medical Systems, 49</w:t>
      </w:r>
      <w:r w:rsidRPr="00462342">
        <w:rPr>
          <w:lang w:val="en-US"/>
        </w:rPr>
        <w:t>(1), 13. </w:t>
      </w:r>
    </w:p>
    <w:p w14:paraId="4E544A66" w14:textId="77777777" w:rsidR="00462342" w:rsidRPr="00462342" w:rsidRDefault="00462342" w:rsidP="00462342">
      <w:pPr>
        <w:rPr>
          <w:lang w:val="en-US"/>
        </w:rPr>
      </w:pPr>
      <w:r w:rsidRPr="00462342">
        <w:rPr>
          <w:b/>
          <w:bCs/>
          <w:lang w:val="en-US"/>
        </w:rPr>
        <w:t>Lanke, V., et al.</w:t>
      </w:r>
      <w:r w:rsidRPr="00462342">
        <w:rPr>
          <w:lang w:val="en-US"/>
        </w:rPr>
        <w:t> (2025). Evaluating the Effectiveness of Mobile Apps on Medication Adherence for Chronic Conditions: Systematic Review and Meta-Analysis. </w:t>
      </w:r>
      <w:r w:rsidRPr="00462342">
        <w:rPr>
          <w:i/>
          <w:iCs/>
          <w:lang w:val="en-US"/>
        </w:rPr>
        <w:t>Journal of Medical Internet Research, 27</w:t>
      </w:r>
      <w:r w:rsidRPr="00462342">
        <w:rPr>
          <w:lang w:val="en-US"/>
        </w:rPr>
        <w:t>, e60822. </w:t>
      </w:r>
    </w:p>
    <w:p w14:paraId="12B70891" w14:textId="77777777" w:rsidR="00462342" w:rsidRPr="00462342" w:rsidRDefault="00462342" w:rsidP="00462342">
      <w:r w:rsidRPr="00462342">
        <w:rPr>
          <w:b/>
          <w:bCs/>
          <w:lang w:val="en-US"/>
        </w:rPr>
        <w:t>Mamoun, R., </w:t>
      </w:r>
      <w:proofErr w:type="spellStart"/>
      <w:r w:rsidRPr="00462342">
        <w:rPr>
          <w:b/>
          <w:bCs/>
          <w:lang w:val="en-US"/>
        </w:rPr>
        <w:t>Nasor</w:t>
      </w:r>
      <w:proofErr w:type="spellEnd"/>
      <w:r w:rsidRPr="00462342">
        <w:rPr>
          <w:b/>
          <w:bCs/>
          <w:lang w:val="en-US"/>
        </w:rPr>
        <w:t>, M., &amp; </w:t>
      </w:r>
      <w:proofErr w:type="spellStart"/>
      <w:r w:rsidRPr="00462342">
        <w:rPr>
          <w:b/>
          <w:bCs/>
          <w:lang w:val="en-US"/>
        </w:rPr>
        <w:t>Abulikailik</w:t>
      </w:r>
      <w:proofErr w:type="spellEnd"/>
      <w:r w:rsidRPr="00462342">
        <w:rPr>
          <w:b/>
          <w:bCs/>
          <w:lang w:val="en-US"/>
        </w:rPr>
        <w:t>, S. H.</w:t>
      </w:r>
      <w:r w:rsidRPr="00462342">
        <w:rPr>
          <w:lang w:val="en-US"/>
        </w:rPr>
        <w:t> (2021). Design and development of mobile healthcare application prototype using flutter. Em </w:t>
      </w:r>
      <w:r w:rsidRPr="00462342">
        <w:rPr>
          <w:i/>
          <w:iCs/>
          <w:lang w:val="en-US"/>
        </w:rPr>
        <w:t>2020 International Conference on Computer, Control, Electrical, and Electronics Engineering (ICCCEEE)</w:t>
      </w:r>
      <w:r w:rsidRPr="00462342">
        <w:rPr>
          <w:lang w:val="en-US"/>
        </w:rPr>
        <w:t xml:space="preserve"> (pp. 1-6). </w:t>
      </w:r>
      <w:r w:rsidRPr="00462342">
        <w:t>IEEE. </w:t>
      </w:r>
    </w:p>
    <w:p w14:paraId="2305E56F" w14:textId="77CC258A" w:rsidR="00462342" w:rsidRPr="00462342" w:rsidRDefault="00462342" w:rsidP="00462342"/>
    <w:sectPr w:rsidR="00462342" w:rsidRPr="00462342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D340D" w14:textId="77777777" w:rsidR="00371D1B" w:rsidRDefault="00371D1B" w:rsidP="00462342">
      <w:pPr>
        <w:spacing w:after="0" w:line="240" w:lineRule="auto"/>
      </w:pPr>
      <w:r>
        <w:separator/>
      </w:r>
    </w:p>
  </w:endnote>
  <w:endnote w:type="continuationSeparator" w:id="0">
    <w:p w14:paraId="7CCF4ACF" w14:textId="77777777" w:rsidR="00371D1B" w:rsidRDefault="00371D1B" w:rsidP="004623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ABEB0" w14:textId="77777777" w:rsidR="00371D1B" w:rsidRDefault="00371D1B" w:rsidP="00462342">
      <w:pPr>
        <w:spacing w:after="0" w:line="240" w:lineRule="auto"/>
      </w:pPr>
      <w:r>
        <w:separator/>
      </w:r>
    </w:p>
  </w:footnote>
  <w:footnote w:type="continuationSeparator" w:id="0">
    <w:p w14:paraId="5C834494" w14:textId="77777777" w:rsidR="00371D1B" w:rsidRDefault="00371D1B" w:rsidP="004623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43B66" w14:textId="04590269" w:rsidR="00462342" w:rsidRPr="00462342" w:rsidRDefault="00462342" w:rsidP="00462342">
    <w:pPr>
      <w:pStyle w:val="Cabealho"/>
      <w:jc w:val="center"/>
      <w:rPr>
        <w:sz w:val="40"/>
        <w:szCs w:val="40"/>
      </w:rPr>
    </w:pPr>
    <w:r w:rsidRPr="00462342">
      <w:rPr>
        <w:sz w:val="40"/>
        <w:szCs w:val="40"/>
      </w:rPr>
      <w:t>Estado da a</w:t>
    </w:r>
    <w:r>
      <w:rPr>
        <w:sz w:val="40"/>
        <w:szCs w:val="40"/>
      </w:rPr>
      <w:t>r</w:t>
    </w:r>
    <w:r w:rsidRPr="00462342">
      <w:rPr>
        <w:sz w:val="40"/>
        <w:szCs w:val="40"/>
      </w:rPr>
      <w:t>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D49F3"/>
    <w:multiLevelType w:val="multilevel"/>
    <w:tmpl w:val="59A2F0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4654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342"/>
    <w:rsid w:val="00371D1B"/>
    <w:rsid w:val="00462342"/>
    <w:rsid w:val="005C5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973D6"/>
  <w15:chartTrackingRefBased/>
  <w15:docId w15:val="{1D851AED-90B5-455F-A60A-2D53EE63C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62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62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62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62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62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62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62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62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62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62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62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62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623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6234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623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6234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623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623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62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62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62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62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62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623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234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623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62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6234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6234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4623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462342"/>
  </w:style>
  <w:style w:type="paragraph" w:styleId="Rodap">
    <w:name w:val="footer"/>
    <w:basedOn w:val="Normal"/>
    <w:link w:val="RodapCarter"/>
    <w:uiPriority w:val="99"/>
    <w:unhideWhenUsed/>
    <w:rsid w:val="004623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4623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D51C9FBC39324EBAB59B01C4346E09" ma:contentTypeVersion="8" ma:contentTypeDescription="Create a new document." ma:contentTypeScope="" ma:versionID="54577195a669130d2293a99e4a1e3c11">
  <xsd:schema xmlns:xsd="http://www.w3.org/2001/XMLSchema" xmlns:xs="http://www.w3.org/2001/XMLSchema" xmlns:p="http://schemas.microsoft.com/office/2006/metadata/properties" xmlns:ns3="d1820d08-fbb8-4f42-a1d4-888ae23d26d1" xmlns:ns4="fe0433fa-6222-408a-8cda-04e271f5cb7c" targetNamespace="http://schemas.microsoft.com/office/2006/metadata/properties" ma:root="true" ma:fieldsID="2a6bcf54b9ba3859bc9bb889ebd04d86" ns3:_="" ns4:_="">
    <xsd:import namespace="d1820d08-fbb8-4f42-a1d4-888ae23d26d1"/>
    <xsd:import namespace="fe0433fa-6222-408a-8cda-04e271f5cb7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820d08-fbb8-4f42-a1d4-888ae23d26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433fa-6222-408a-8cda-04e271f5cb7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820d08-fbb8-4f42-a1d4-888ae23d26d1" xsi:nil="true"/>
  </documentManagement>
</p:properties>
</file>

<file path=customXml/itemProps1.xml><?xml version="1.0" encoding="utf-8"?>
<ds:datastoreItem xmlns:ds="http://schemas.openxmlformats.org/officeDocument/2006/customXml" ds:itemID="{502E367E-AA58-42FB-983B-D63632BD3A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820d08-fbb8-4f42-a1d4-888ae23d26d1"/>
    <ds:schemaRef ds:uri="fe0433fa-6222-408a-8cda-04e271f5cb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31169E-B2F1-445D-9FBF-01BF8299D5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0D6831-375B-4A98-BA06-E5C22616D8DE}">
  <ds:schemaRefs>
    <ds:schemaRef ds:uri="http://schemas.microsoft.com/office/2006/metadata/properties"/>
    <ds:schemaRef ds:uri="http://schemas.microsoft.com/office/infopath/2007/PartnerControls"/>
    <ds:schemaRef ds:uri="d1820d08-fbb8-4f42-a1d4-888ae23d26d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1609</Words>
  <Characters>8689</Characters>
  <Application>Microsoft Office Word</Application>
  <DocSecurity>0</DocSecurity>
  <Lines>72</Lines>
  <Paragraphs>20</Paragraphs>
  <ScaleCrop>false</ScaleCrop>
  <Company/>
  <LinksUpToDate>false</LinksUpToDate>
  <CharactersWithSpaces>10278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Xavier Barros Barroso</dc:creator>
  <cp:keywords/>
  <dc:description/>
  <cp:lastModifiedBy>Gustavo Xavier Barros Barroso</cp:lastModifiedBy>
  <cp:revision>2</cp:revision>
  <dcterms:created xsi:type="dcterms:W3CDTF">2026-03-27T00:26:00Z</dcterms:created>
  <dcterms:modified xsi:type="dcterms:W3CDTF">2026-03-27T00:26:00Z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0x01010097D51C9FBC39324EBAB59B01C4346E09</vt:lpwstr>
  </property>
</Properties>
</file>