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pPr>
        <w:pStyle w:val="Heading1"/>
      </w:pPr>
      <w:r>
        <w:t>Summary</w:t>
      </w:r>
    </w:p>
    <w:p>
      <w:r>
        <w:t>Revenue grew 12% to 4.2M in Q3.</w:t>
      </w:r>
    </w:p>
    <w:p>
      <w:pPr>
        <w:pStyle w:val="ListBullet"/>
      </w:pPr>
      <w:r>
        <w:t>Main point</w:t>
      </w:r>
    </w:p>
    <w:p>
      <w:pPr>
        <w:pStyle w:val="ListBullet2"/>
      </w:pPr>
      <w:r>
        <w:t>Sub point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p>
      <w:pPr>
        <w:pStyle w:val="Heading2"/>
      </w:pPr>
      <w:r>
        <w:t>Sales by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5760"/>
            <w:gridSpan w:val="2"/>
          </w:tcPr>
          <w:p>
            <w:r>
              <w:t>2026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1.9M</w:t>
            </w:r>
          </w:p>
        </w:tc>
        <w:tc>
          <w:tcPr>
            <w:tcW w:type="dxa" w:w="2880"/>
          </w:tcPr>
          <w:p>
            <w:r>
              <w:t>2.1M</w:t>
            </w:r>
          </w:p>
        </w:tc>
      </w:tr>
      <w:tr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2.3M</w:t>
            </w:r>
          </w:p>
        </w:tc>
        <w:tc>
          <w:tcPr>
            <w:tcW w:type="dxa" w:w="2880"/>
          </w:tcPr>
          <w:p>
            <w:r>
              <w:t>2.6M</w:t>
            </w:r>
          </w:p>
        </w:tc>
      </w:tr>
    </w:tbl>
    <w:p>
      <w:r>
        <w:t xml:space="preserve">Details at </w:t>
      </w:r>
      <w:r>
        <w:t>the portal</w:t>
      </w:r>
    </w:p>
    <w:p>
      <w:r>
        <w:drawing>
          <wp:inline xmlns:a="http://schemas.openxmlformats.org/drawingml/2006/main" xmlns:pic="http://schemas.openxmlformats.org/drawingml/2006/picture">
            <wp:extent cx="1371600" cy="1774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74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CEO at the Q3 launch.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