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List of Illustrations for AnnotationFall2014_LandsmanRowen_OriginalPatterns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Rozemarijn Landsman &amp; Jonah Rowen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Fig. 1: AnnotationFall2014_LandsmanRowen_OriginalPatterns_Fig1_FlaxmanRedWaxfromPhiladelphiaMuseumofArt.jpg</w:t>
        <w:br w:type="textWrapping"/>
        <w:t xml:space="preserve">John Flaxman, Jr. (attributed),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Virtue Prudentia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c. 1800 (Philadelphia Museum of Art, Accession Number 1944-63-11)</w:t>
        <w:br w:type="textWrapping"/>
        <w:t xml:space="preserve">Although of a later date, this carving in red wax on black slate displays a similar technique and process as described by Cellini. The sixteenth-century methods and materials used for the casting of medals and seals may have included intermediary products such as seen here.  </w:t>
      </w:r>
    </w:p>
    <w:sectPr>
      <w:headerReference r:id="rId6" w:type="default"/>
      <w:footerReference r:id="rId7" w:type="default"/>
      <w:pgSz w:h="16840" w:w="1190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708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708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36.66666666666667"/>
        <w:szCs w:val="36.66666666666667"/>
        <w:vertAlign w:val="subscrip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