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>FIELD NOTE</w:t>
      </w:r>
    </w:p>
    <w:p w:rsidR="00000000" w:rsidDel="00000000" w:rsidP="00000000" w:rsidRDefault="00000000" w:rsidRPr="00000000" w14:paraId="00000002">
      <w:pPr>
        <w:pStyle w:val="Title"/>
        <w:rPr>
          <w:rFonts w:ascii="Libre Franklin" w:cs="Libre Franklin" w:eastAsia="Libre Franklin" w:hAnsi="Libre Franklin"/>
          <w:color w:val="000000"/>
        </w:rPr>
      </w:pPr>
      <w:r>
        <w:rPr>
          <w:rFonts w:ascii="Libre Franklin" w:cs="Libre Franklin" w:eastAsia="Libre Franklin" w:hAnsi="Libre Franklin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color w:val="000000"/>
          <w:rtl w:val="0"/>
        </w:rPr>
        <w:t>—Greenhouse Carbon</w:t>
      </w:r>
    </w:p>
    <w:p w:rsidR="00000000" w:rsidDel="00000000" w:rsidP="00000000" w:rsidRDefault="00000000" w:rsidRPr="00000000" w14:paraId="00000003">
      <w:pPr>
        <w:rPr>
          <w:rFonts w:ascii="Libre Franklin" w:cs="Libre Franklin" w:eastAsia="Libre Franklin" w:hAnsi="Libre Franklin"/>
          <w:b w:val="1"/>
          <w:smallCaps w:val="1"/>
          <w:color w:val="000000"/>
        </w:rPr>
      </w:pPr>
      <w:r>
        <w:rPr>
          <w:rFonts w:ascii="Libre Franklin" w:cs="Libre Franklin" w:eastAsia="Libre Franklin" w:hAnsi="Libre Franklin"/>
          <w:b w:val="1"/>
          <w:smallCaps w:val="1"/>
          <w:color w:val="000000"/>
          <w:rtl w:val="0"/>
        </w:rPr>
        <w:t xml:space="preserve">CARBON DIOXIDE MOVES CONTINUALLY BETWEEN THE AIR, PLANTS, WATER, AND SOIL. IN A GREENHOUSE, </w:t>
      </w:r>
      <w:r>
        <w:rPr>
          <w:rFonts w:ascii="Libre Franklin" w:cs="Libre Franklin" w:eastAsia="Libre Franklin" w:hAnsi="Libre Franklin"/>
          <w:b w:val="1"/>
          <w:i w:val="1"/>
          <w:smallCaps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b w:val="1"/>
          <w:i w:val="1"/>
          <w:smallCaps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b w:val="1"/>
          <w:smallCaps w:val="1"/>
          <w:color w:val="000000"/>
          <w:rtl w:val="0"/>
        </w:rPr>
        <w:t xml:space="preserve"> CAN SUPPORT PHOTOSYNTHESIS WHEN LIGHT, TEMPERATURE, AND MOISTURE ARE ALSO SUITABLE.</w:t>
      </w:r>
    </w:p>
    <w:p w:rsidR="00000000" w:rsidDel="00000000" w:rsidP="00000000" w:rsidRDefault="00000000" w:rsidRPr="00000000" w14:paraId="00000004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i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i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rtl w:val="0"/>
        </w:rPr>
        <w:t xml:space="preserve"> observations are most useful when they are read alongside airflow, light, temperature, and moisture conditions.</w:t>
      </w:r>
    </w:p>
    <w:p w:rsidR="00000000" w:rsidDel="00000000" w:rsidP="00000000" w:rsidRDefault="00000000" w:rsidRPr="00000000" w14:paraId="00000005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 xml:space="preserve">During daylight trials, technicians record </w:t>
      </w:r>
      <w:r>
        <w:rPr>
          <w:rFonts w:ascii="Libre Franklin" w:cs="Libre Franklin" w:eastAsia="Libre Franklin" w:hAnsi="Libre Franklin"/>
          <w:i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i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rtl w:val="0"/>
        </w:rPr>
        <w:t xml:space="preserve"> near the plant canopy and again beside the ventilation outlet. Comparing these locations helps them recognize how airflow and plant activity influence the chamber.</w:t>
      </w:r>
    </w:p>
    <w:p w:rsidR="00000000" w:rsidDel="00000000" w:rsidP="00000000" w:rsidRDefault="00000000" w:rsidRPr="00000000" w14:paraId="00000006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 xml:space="preserve">A sudden rise in </w:t>
      </w:r>
      <w:r>
        <w:rPr>
          <w:rFonts w:ascii="Libre Franklin" w:cs="Libre Franklin" w:eastAsia="Libre Franklin" w:hAnsi="Libre Franklin"/>
          <w:i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i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rtl w:val="0"/>
        </w:rPr>
        <w:t xml:space="preserve"> may reflect a dosing cycle, reduced ventilation, or a sensor that needs inspection. Staff confirm unusual readings against a second instrument before changing the greenhouse controls.</w:t>
      </w:r>
    </w:p>
    <w:p w:rsidR="00000000" w:rsidDel="00000000" w:rsidP="00000000" w:rsidRDefault="00000000" w:rsidRPr="00000000" w14:paraId="00000007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 xml:space="preserve">At the end of each shift, the team reviews the </w:t>
      </w:r>
      <w:r>
        <w:rPr>
          <w:rFonts w:ascii="Libre Franklin" w:cs="Libre Franklin" w:eastAsia="Libre Franklin" w:hAnsi="Libre Franklin"/>
          <w:i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i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rtl w:val="0"/>
        </w:rPr>
        <w:t xml:space="preserve"> log alongside notes about light, temperature, irrigation, and fan operation. This context keeps a single measurement from being interpreted in isolation.</w:t>
      </w:r>
    </w:p>
    <w:p w:rsidR="00000000" w:rsidDel="00000000" w:rsidP="00000000" w:rsidRDefault="00000000" w:rsidRPr="00000000" w14:paraId="00000008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 xml:space="preserve">Before sharing the field note, check that every </w:t>
      </w:r>
      <w:r>
        <w:rPr>
          <w:rFonts w:ascii="Libre Franklin" w:cs="Libre Franklin" w:eastAsia="Libre Franklin" w:hAnsi="Libre Franklin"/>
          <w:i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i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rtl w:val="0"/>
        </w:rPr>
        <w:t xml:space="preserve"> formula uses standard chemical notation. Consistent formatting makes </w:t>
      </w:r>
      <w:r>
        <w:rPr>
          <w:rFonts w:ascii="Libre Franklin" w:cs="Libre Franklin" w:eastAsia="Libre Franklin" w:hAnsi="Libre Franklin"/>
          <w:i w:val="1"/>
          <w:color w:val="000000"/>
          <w:rtl w:val="0"/>
        </w:rPr>
        <w:t>CO</w:t>
      </w:r>
      <w:r>
        <w:rPr>
          <w:rFonts w:ascii="Libre Franklin" w:cs="Libre Franklin" w:eastAsia="Libre Franklin" w:hAnsi="Libre Franklin"/>
          <w:i w:val="1"/>
          <w:color w:val="000000"/>
          <w:vertAlign w:val="subscript"/>
          <w:rtl w:val="0"/>
        </w:rPr>
        <w:t>2</w:t>
      </w:r>
      <w:r>
        <w:rPr>
          <w:rFonts w:ascii="Libre Franklin" w:cs="Libre Franklin" w:eastAsia="Libre Franklin" w:hAnsi="Libre Franklin"/>
          <w:rtl w:val="0"/>
        </w:rPr>
        <w:t xml:space="preserve"> references easier to scan in reports, handover notes, and training material.</w:t>
      </w:r>
    </w:p>
    <w:p w:rsidR="00000000" w:rsidDel="00000000" w:rsidP="00000000" w:rsidRDefault="00000000" w:rsidRPr="00000000" w14:paraId="00000009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>Routine calibration notes record instrument status, weather conditions, door openings, and maintenance work. These details help later reviewers separate operational events from environmental changes.</w:t>
      </w:r>
    </w:p>
    <w:p w:rsidR="00000000" w:rsidDel="00000000" w:rsidP="00000000" w:rsidRDefault="00000000" w:rsidRPr="00000000" w14:paraId="0000000A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>Glasshouse Lane Research Annex, Northfield</w:t>
      </w:r>
    </w:p>
    <w:p w:rsidR="00000000" w:rsidDel="00000000" w:rsidP="00000000" w:rsidRDefault="00000000" w:rsidRPr="00000000" w14:paraId="0000000B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>+1 555 014 6789</w:t>
      </w:r>
    </w:p>
    <w:p w:rsidR="00000000" w:rsidDel="00000000" w:rsidP="00000000" w:rsidRDefault="00000000" w:rsidRPr="00000000" w14:paraId="0000000C">
      <w:pPr>
        <w:rPr>
          <w:rFonts w:ascii="Libre Franklin" w:cs="Libre Franklin" w:eastAsia="Libre Franklin" w:hAnsi="Libre Franklin"/>
          <w:color w:val="0000ff"/>
          <w:u w:val="single"/>
        </w:rPr>
      </w:pPr>
      <w:r>
        <w:rPr>
          <w:rFonts w:ascii="Libre Franklin" w:cs="Libre Franklin" w:eastAsia="Libre Franklin" w:hAnsi="Libre Franklin"/>
          <w:color w:val="0000ff"/>
          <w:u w:val="single"/>
          <w:rtl w:val="0"/>
        </w:rPr>
        <w:t>www.greenhouse-notes.example</w:t>
      </w:r>
    </w:p>
    <w:p w:rsidR="00000000" w:rsidDel="00000000" w:rsidP="00000000" w:rsidRDefault="00000000" w:rsidRPr="00000000" w14:paraId="0000000D">
      <w:pPr>
        <w:rPr>
          <w:rFonts w:ascii="Libre Franklin" w:cs="Libre Franklin" w:eastAsia="Libre Franklin" w:hAnsi="Libre Franklin"/>
          <w:b w:val="0"/>
        </w:rPr>
      </w:pPr>
      <w:r>
        <w:rPr>
          <w:rFonts w:ascii="Libre Franklin" w:cs="Libre Franklin" w:eastAsia="Libre Franklin" w:hAnsi="Libre Franklin"/>
          <w:b w:val="0"/>
          <w:rtl w:val="0"/>
        </w:rPr>
        <w:t>Field-note enquiries:</w:t>
      </w:r>
    </w:p>
    <w:p w:rsidR="00000000" w:rsidDel="00000000" w:rsidP="00000000" w:rsidRDefault="00000000" w:rsidRPr="00000000" w14:paraId="0000000E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>+1 555 014 6798</w:t>
      </w:r>
    </w:p>
    <w:p w:rsidR="00000000" w:rsidDel="00000000" w:rsidP="00000000" w:rsidRDefault="00000000" w:rsidRPr="00000000" w14:paraId="0000000F">
      <w:pPr>
        <w:rPr>
          <w:rFonts w:ascii="Libre Franklin" w:cs="Libre Franklin" w:eastAsia="Libre Franklin" w:hAnsi="Libre Franklin"/>
          <w:color w:val="0000ff"/>
          <w:u w:val="single"/>
        </w:rPr>
      </w:pPr>
      <w:r>
        <w:rPr>
          <w:rFonts w:ascii="Libre Franklin" w:cs="Libre Franklin" w:eastAsia="Libre Franklin" w:hAnsi="Libre Franklin"/>
          <w:color w:val="0000ff"/>
          <w:u w:val="single"/>
          <w:rtl w:val="0"/>
        </w:rPr>
        <w:t>fieldnotes@greenhouse-notes.example</w:t>
      </w:r>
    </w:p>
    <w:p w:rsidR="00000000" w:rsidDel="00000000" w:rsidP="00000000" w:rsidRDefault="00000000" w:rsidRPr="00000000" w14:paraId="00000010">
      <w:pPr>
        <w:rPr>
          <w:rFonts w:ascii="Libre Franklin" w:cs="Libre Franklin" w:eastAsia="Libre Franklin" w:hAnsi="Libre Franklin"/>
        </w:rPr>
      </w:pPr>
      <w:r>
        <w:rPr>
          <w:rFonts w:ascii="Libre Franklin" w:cs="Libre Franklin" w:eastAsia="Libre Franklin" w:hAnsi="Libre Franklin"/>
          <w:rtl w:val="0"/>
        </w:rPr>
        <w:t>Current as of August [GH-417]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AU"/>
      </w:rPr>
    </w:rPrDefault>
    <w:pPrDefault>
      <w:pPr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4f81bd" w:space="0" w:sz="24" w:val="single"/>
        <w:left w:color="4f81bd" w:space="0" w:sz="24" w:val="single"/>
        <w:bottom w:color="4f81bd" w:space="0" w:sz="24" w:val="single"/>
        <w:right w:color="4f81bd" w:space="0" w:sz="24" w:val="single"/>
      </w:pBdr>
      <w:shd w:fill="4f81bd" w:val="clear"/>
      <w:spacing w:after="0" w:lineRule="auto"/>
    </w:pPr>
    <w:rPr>
      <w:b w:val="1"/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be5f1" w:space="0" w:sz="24" w:val="single"/>
        <w:left w:color="dbe5f1" w:space="0" w:sz="24" w:val="single"/>
        <w:bottom w:color="dbe5f1" w:space="0" w:sz="24" w:val="single"/>
        <w:right w:color="dbe5f1" w:space="0" w:sz="24" w:val="single"/>
      </w:pBdr>
      <w:shd w:fill="dbe5f1" w:val="clear"/>
      <w:spacing w:after="0" w:lineRule="auto"/>
    </w:pPr>
    <w:rPr>
      <w:smallCaps w:val="1"/>
      <w:sz w:val="22"/>
      <w:szCs w:val="22"/>
    </w:rPr>
  </w:style>
  <w:style w:type="paragraph" w:styleId="Heading3">
    <w:name w:val="heading 3"/>
    <w:basedOn w:val="Normal"/>
    <w:next w:val="Normal"/>
    <w:pPr>
      <w:pBdr>
        <w:top w:color="4f81bd" w:space="2" w:sz="6" w:val="single"/>
        <w:left w:color="4f81bd" w:space="2" w:sz="6" w:val="single"/>
      </w:pBdr>
      <w:spacing w:after="0" w:before="300" w:lineRule="auto"/>
    </w:pPr>
    <w:rPr>
      <w:smallCaps w:val="1"/>
      <w:color w:val="243f61"/>
      <w:sz w:val="22"/>
      <w:szCs w:val="22"/>
    </w:rPr>
  </w:style>
  <w:style w:type="paragraph" w:styleId="Heading4">
    <w:name w:val="heading 4"/>
    <w:basedOn w:val="Normal"/>
    <w:next w:val="Normal"/>
    <w:pPr>
      <w:pBdr>
        <w:top w:color="4f81bd" w:space="2" w:sz="6" w:val="dotted"/>
        <w:left w:color="4f81bd" w:space="2" w:sz="6" w:val="dotted"/>
      </w:pBdr>
      <w:spacing w:after="0" w:before="300" w:lineRule="auto"/>
    </w:pPr>
    <w:rPr>
      <w:smallCap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pBdr>
        <w:bottom w:color="4f81bd" w:space="1" w:sz="6" w:val="single"/>
      </w:pBdr>
      <w:spacing w:after="0" w:before="300" w:lineRule="auto"/>
    </w:pPr>
    <w:rPr>
      <w:smallCaps w:val="1"/>
      <w:color w:val="36609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4f81bd" w:space="1" w:sz="6" w:val="dotted"/>
      </w:pBdr>
      <w:spacing w:after="0" w:before="300" w:lineRule="auto"/>
    </w:pPr>
    <w:rPr>
      <w:smallCaps w:val="1"/>
      <w:color w:val="366091"/>
      <w:sz w:val="22"/>
      <w:szCs w:val="22"/>
    </w:rPr>
  </w:style>
  <w:style w:type="paragraph" w:styleId="Title">
    <w:name w:val="Title"/>
    <w:basedOn w:val="Normal"/>
    <w:next w:val="Normal"/>
    <w:pPr>
      <w:spacing w:before="720" w:lineRule="auto"/>
    </w:pPr>
    <w:rPr>
      <w:smallCaps w:val="1"/>
      <w:color w:val="4f81bd"/>
      <w:sz w:val="52"/>
      <w:szCs w:val="52"/>
    </w:rPr>
  </w:style>
  <w:style w:type="paragraph" w:styleId="Normal" w:default="1">
    <w:name w:val="Normal"/>
    <w:qFormat w:val="1"/>
    <w:rsid w:val="00AF220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AF220C"/>
    <w:pPr>
      <w:pBdr>
        <w:top w:color="4f81bd" w:space="0" w:sz="24" w:themeColor="accent1" w:val="single"/>
        <w:left w:color="4f81bd" w:space="0" w:sz="24" w:themeColor="accent1" w:val="single"/>
        <w:bottom w:color="4f81bd" w:space="0" w:sz="24" w:themeColor="accent1" w:val="single"/>
        <w:right w:color="4f81bd" w:space="0" w:sz="24" w:themeColor="accent1" w:val="single"/>
      </w:pBdr>
      <w:shd w:color="auto" w:fill="4f81bd" w:themeFill="accent1" w:val="clear"/>
      <w:spacing w:after="0"/>
      <w:outlineLvl w:val="0"/>
    </w:pPr>
    <w:rPr>
      <w:b w:val="1"/>
      <w:bCs w:val="1"/>
      <w:caps w:val="1"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F220C"/>
    <w:pPr>
      <w:pBdr>
        <w:top w:color="dbe5f1" w:space="0" w:sz="24" w:themeColor="accent1" w:themeTint="000033" w:val="single"/>
        <w:left w:color="dbe5f1" w:space="0" w:sz="24" w:themeColor="accent1" w:themeTint="000033" w:val="single"/>
        <w:bottom w:color="dbe5f1" w:space="0" w:sz="24" w:themeColor="accent1" w:themeTint="000033" w:val="single"/>
        <w:right w:color="dbe5f1" w:space="0" w:sz="24" w:themeColor="accent1" w:themeTint="000033" w:val="single"/>
      </w:pBdr>
      <w:shd w:color="auto" w:fill="dbe5f1" w:themeFill="accent1" w:themeFillTint="000033" w:val="clear"/>
      <w:spacing w:after="0"/>
      <w:outlineLvl w:val="1"/>
    </w:pPr>
    <w:rPr>
      <w:caps w:val="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F220C"/>
    <w:pPr>
      <w:pBdr>
        <w:top w:color="4f81bd" w:space="2" w:sz="6" w:themeColor="accent1" w:val="single"/>
        <w:left w:color="4f81bd" w:space="2" w:sz="6" w:themeColor="accent1" w:val="single"/>
      </w:pBdr>
      <w:spacing w:after="0" w:before="300"/>
      <w:outlineLvl w:val="2"/>
    </w:pPr>
    <w:rPr>
      <w:caps w:val="1"/>
      <w:color w:val="243f60" w:themeColor="accent1" w:themeShade="0000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F220C"/>
    <w:pPr>
      <w:pBdr>
        <w:top w:color="4f81bd" w:space="2" w:sz="6" w:themeColor="accent1" w:val="dotted"/>
        <w:left w:color="4f81bd" w:space="2" w:sz="6" w:themeColor="accent1" w:val="dotted"/>
      </w:pBdr>
      <w:spacing w:after="0" w:before="300"/>
      <w:outlineLvl w:val="3"/>
    </w:pPr>
    <w:rPr>
      <w:caps w:val="1"/>
      <w:color w:val="365f91" w:themeColor="accent1" w:themeShade="0000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F220C"/>
    <w:pPr>
      <w:pBdr>
        <w:bottom w:color="4f81bd" w:space="1" w:sz="6" w:themeColor="accent1" w:val="single"/>
      </w:pBdr>
      <w:spacing w:after="0" w:before="300"/>
      <w:outlineLvl w:val="4"/>
    </w:pPr>
    <w:rPr>
      <w:caps w:val="1"/>
      <w:color w:val="365f91" w:themeColor="accent1" w:themeShade="0000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F220C"/>
    <w:pPr>
      <w:pBdr>
        <w:bottom w:color="4f81bd" w:space="1" w:sz="6" w:themeColor="accent1" w:val="dotted"/>
      </w:pBdr>
      <w:spacing w:after="0" w:before="300"/>
      <w:outlineLvl w:val="5"/>
    </w:pPr>
    <w:rPr>
      <w:caps w:val="1"/>
      <w:color w:val="365f91" w:themeColor="accent1" w:themeShade="0000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220C"/>
    <w:pPr>
      <w:spacing w:after="0" w:before="300"/>
      <w:outlineLvl w:val="6"/>
    </w:pPr>
    <w:rPr>
      <w:caps w:val="1"/>
      <w:color w:val="365f91" w:themeColor="accent1" w:themeShade="0000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220C"/>
    <w:pPr>
      <w:spacing w:after="0" w:before="300"/>
      <w:outlineLvl w:val="7"/>
    </w:pPr>
    <w:rPr>
      <w:caps w:val="1"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220C"/>
    <w:pPr>
      <w:spacing w:after="0" w:before="300"/>
      <w:outlineLvl w:val="8"/>
    </w:pPr>
    <w:rPr>
      <w:i w:val="1"/>
      <w:caps w:val="1"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AF220C"/>
    <w:pPr>
      <w:autoSpaceDE w:val="0"/>
      <w:autoSpaceDN w:val="0"/>
      <w:adjustRightInd w:val="0"/>
      <w:spacing w:after="0" w:line="240" w:lineRule="auto"/>
    </w:pPr>
    <w:rPr>
      <w:rFonts w:ascii="ITC Franklin Gothic Std Book" w:cs="ITC Franklin Gothic Std Book" w:hAnsi="ITC Franklin Gothic Std Book"/>
      <w:color w:val="000000"/>
      <w:sz w:val="24"/>
      <w:szCs w:val="24"/>
    </w:rPr>
  </w:style>
  <w:style w:type="paragraph" w:styleId="Pa2" w:customStyle="1">
    <w:name w:val="Pa2"/>
    <w:basedOn w:val="Default"/>
    <w:next w:val="Default"/>
    <w:uiPriority w:val="99"/>
    <w:rsid w:val="00AF220C"/>
    <w:pPr>
      <w:spacing w:line="191" w:lineRule="atLeast"/>
    </w:pPr>
    <w:rPr>
      <w:rFonts w:cstheme="minorBidi"/>
      <w:color w:val="auto"/>
    </w:rPr>
  </w:style>
  <w:style w:type="character" w:styleId="A5" w:customStyle="1">
    <w:name w:val="A5"/>
    <w:uiPriority w:val="99"/>
    <w:rsid w:val="00AF220C"/>
    <w:rPr>
      <w:rFonts w:cs="ITC Franklin Gothic Std Book"/>
      <w:i w:val="1"/>
      <w:iCs w:val="1"/>
      <w:color w:val="000000"/>
      <w:sz w:val="11"/>
      <w:szCs w:val="11"/>
    </w:rPr>
  </w:style>
  <w:style w:type="paragraph" w:styleId="Pa3" w:customStyle="1">
    <w:name w:val="Pa3"/>
    <w:basedOn w:val="Default"/>
    <w:next w:val="Default"/>
    <w:uiPriority w:val="99"/>
    <w:rsid w:val="00AF220C"/>
    <w:pPr>
      <w:spacing w:line="191" w:lineRule="atLeast"/>
    </w:pPr>
    <w:rPr>
      <w:rFonts w:ascii="ITC Franklin Gothic Std Med" w:hAnsi="ITC Franklin Gothic Std Med" w:cstheme="minorBidi"/>
      <w:color w:val="auto"/>
    </w:rPr>
  </w:style>
  <w:style w:type="character" w:styleId="Hyperlink">
    <w:name w:val="Hyperlink"/>
    <w:basedOn w:val="DefaultParagraphFont"/>
    <w:uiPriority w:val="99"/>
    <w:unhideWhenUsed w:val="1"/>
    <w:rsid w:val="00AF220C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AF220C"/>
    <w:rPr>
      <w:b w:val="1"/>
      <w:bCs w:val="1"/>
      <w:caps w:val="1"/>
      <w:color w:val="ffffff" w:themeColor="background1"/>
      <w:spacing w:val="15"/>
      <w:shd w:color="auto" w:fill="4f81bd" w:themeFill="accent1" w:val="clea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F220C"/>
    <w:rPr>
      <w:caps w:val="1"/>
      <w:spacing w:val="15"/>
      <w:shd w:color="auto" w:fill="dbe5f1" w:themeFill="accent1" w:themeFillTint="000033" w:val="clea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F220C"/>
    <w:rPr>
      <w:caps w:val="1"/>
      <w:color w:val="243f60" w:themeColor="accent1" w:themeShade="0000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220C"/>
    <w:rPr>
      <w:caps w:val="1"/>
      <w:color w:val="365f91" w:themeColor="accent1" w:themeShade="0000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220C"/>
    <w:rPr>
      <w:caps w:val="1"/>
      <w:color w:val="365f91" w:themeColor="accent1" w:themeShade="0000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220C"/>
    <w:rPr>
      <w:caps w:val="1"/>
      <w:color w:val="365f91" w:themeColor="accent1" w:themeShade="0000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220C"/>
    <w:rPr>
      <w:caps w:val="1"/>
      <w:color w:val="365f91" w:themeColor="accent1" w:themeShade="0000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220C"/>
    <w:rPr>
      <w:caps w:val="1"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220C"/>
    <w:rPr>
      <w:i w:val="1"/>
      <w:caps w:val="1"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AF220C"/>
    <w:rPr>
      <w:b w:val="1"/>
      <w:bCs w:val="1"/>
      <w:color w:val="365f91" w:themeColor="accent1" w:themeShade="0000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F220C"/>
    <w:pPr>
      <w:spacing w:before="720"/>
    </w:pPr>
    <w:rPr>
      <w:caps w:val="1"/>
      <w:color w:val="4f81bd" w:themeColor="accent1"/>
      <w:spacing w:val="10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AF220C"/>
    <w:rPr>
      <w:caps w:val="1"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F220C"/>
    <w:pPr>
      <w:spacing w:after="1000" w:line="240" w:lineRule="auto"/>
    </w:pPr>
    <w:rPr>
      <w:caps w:val="1"/>
      <w:color w:val="595959" w:themeColor="text1" w:themeTint="0000A6"/>
      <w:spacing w:val="10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AF220C"/>
    <w:rPr>
      <w:caps w:val="1"/>
      <w:color w:val="595959" w:themeColor="text1" w:themeTint="0000A6"/>
      <w:spacing w:val="10"/>
      <w:sz w:val="24"/>
      <w:szCs w:val="24"/>
    </w:rPr>
  </w:style>
  <w:style w:type="character" w:styleId="Strong">
    <w:name w:val="Strong"/>
    <w:uiPriority w:val="22"/>
    <w:qFormat w:val="1"/>
    <w:rsid w:val="00AF220C"/>
    <w:rPr>
      <w:b w:val="1"/>
      <w:bCs w:val="1"/>
    </w:rPr>
  </w:style>
  <w:style w:type="character" w:styleId="Emphasis">
    <w:name w:val="Emphasis"/>
    <w:uiPriority w:val="20"/>
    <w:qFormat w:val="1"/>
    <w:rsid w:val="00AF220C"/>
    <w:rPr>
      <w:caps w:val="1"/>
      <w:color w:val="243f60" w:themeColor="accent1" w:themeShade="00007F"/>
      <w:spacing w:val="5"/>
    </w:rPr>
  </w:style>
  <w:style w:type="paragraph" w:styleId="NoSpacing">
    <w:name w:val="No Spacing"/>
    <w:basedOn w:val="Normal"/>
    <w:link w:val="NoSpacingChar"/>
    <w:uiPriority w:val="1"/>
    <w:qFormat w:val="1"/>
    <w:rsid w:val="00AF220C"/>
    <w:pPr>
      <w:spacing w:after="0" w:before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AF220C"/>
    <w:rPr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AF220C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AF220C"/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AF220C"/>
    <w:rPr>
      <w:i w:val="1"/>
      <w:iCs w:val="1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220C"/>
    <w:pPr>
      <w:pBdr>
        <w:top w:color="4f81bd" w:space="10" w:sz="4" w:themeColor="accent1" w:val="single"/>
        <w:left w:color="4f81bd" w:space="10" w:sz="4" w:themeColor="accent1" w:val="single"/>
      </w:pBdr>
      <w:spacing w:after="0"/>
      <w:ind w:left="1296" w:right="1152"/>
      <w:jc w:val="both"/>
    </w:pPr>
    <w:rPr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220C"/>
    <w:rPr>
      <w:i w:val="1"/>
      <w:iCs w:val="1"/>
      <w:color w:val="4f81bd" w:themeColor="accent1"/>
      <w:sz w:val="20"/>
      <w:szCs w:val="20"/>
    </w:rPr>
  </w:style>
  <w:style w:type="character" w:styleId="SubtleEmphasis">
    <w:name w:val="Subtle Emphasis"/>
    <w:uiPriority w:val="19"/>
    <w:qFormat w:val="1"/>
    <w:rsid w:val="00AF220C"/>
    <w:rPr>
      <w:i w:val="1"/>
      <w:iCs w:val="1"/>
      <w:color w:val="243f60" w:themeColor="accent1" w:themeShade="00007F"/>
    </w:rPr>
  </w:style>
  <w:style w:type="character" w:styleId="IntenseEmphasis">
    <w:name w:val="Intense Emphasis"/>
    <w:uiPriority w:val="21"/>
    <w:qFormat w:val="1"/>
    <w:rsid w:val="00AF220C"/>
    <w:rPr>
      <w:b w:val="1"/>
      <w:bCs w:val="1"/>
      <w:caps w:val="1"/>
      <w:color w:val="243f60" w:themeColor="accent1" w:themeShade="00007F"/>
      <w:spacing w:val="10"/>
    </w:rPr>
  </w:style>
  <w:style w:type="character" w:styleId="SubtleReference">
    <w:name w:val="Subtle Reference"/>
    <w:uiPriority w:val="31"/>
    <w:qFormat w:val="1"/>
    <w:rsid w:val="00AF220C"/>
    <w:rPr>
      <w:b w:val="1"/>
      <w:bCs w:val="1"/>
      <w:color w:val="4f81bd" w:themeColor="accent1"/>
    </w:rPr>
  </w:style>
  <w:style w:type="character" w:styleId="IntenseReference">
    <w:name w:val="Intense Reference"/>
    <w:uiPriority w:val="32"/>
    <w:qFormat w:val="1"/>
    <w:rsid w:val="00AF220C"/>
    <w:rPr>
      <w:b w:val="1"/>
      <w:bCs w:val="1"/>
      <w:i w:val="1"/>
      <w:iCs w:val="1"/>
      <w:caps w:val="1"/>
      <w:color w:val="4f81bd" w:themeColor="accent1"/>
    </w:rPr>
  </w:style>
  <w:style w:type="character" w:styleId="BookTitle">
    <w:name w:val="Book Title"/>
    <w:uiPriority w:val="33"/>
    <w:qFormat w:val="1"/>
    <w:rsid w:val="00AF220C"/>
    <w:rPr>
      <w:b w:val="1"/>
      <w:bCs w:val="1"/>
      <w:i w:val="1"/>
      <w:iCs w:val="1"/>
      <w:spacing w:val="9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AF220C"/>
    <w:pPr>
      <w:outlineLvl w:val="9"/>
    </w:pPr>
    <w:rPr>
      <w:lang w:bidi="en-US"/>
    </w:rPr>
  </w:style>
  <w:style w:type="paragraph" w:styleId="Subtitle">
    <w:name w:val="Subtitle"/>
    <w:basedOn w:val="Normal"/>
    <w:next w:val="Normal"/>
    <w:pPr>
      <w:spacing w:after="1000" w:line="240" w:lineRule="auto"/>
    </w:pPr>
    <w:rPr>
      <w:smallCaps w:val="1"/>
      <w:color w:val="59595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edia@questacon.edu.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9yFVVCRYqIHbPnPgacKBt1JqeA==">CgMxLjAyCGguZ2pkZ3hzOAByITFkTV9GU1RHRFd4U1c2NFZFdGhfd0tNWU5rdncweV90cQ==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2013-07-16T01:39:00Z</dcterms:created>
  <dc:creator>Annie Harris</dc:creator>
</cp:coreProperties>
</file>