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Tour</w:t>
      </w:r>
      <w:r>
        <w:t xml:space="preserve"> </w:t>
      </w:r>
      <w:r>
        <w:t xml:space="preserve">of</w:t>
      </w:r>
      <w:r>
        <w:t xml:space="preserve"> </w:t>
      </w:r>
      <w:r>
        <w:t xml:space="preserve">Wordless</w:t>
      </w:r>
    </w:p>
    <w:bookmarkStart w:id="21" w:name="start-here"/>
    <w:p>
      <w:pPr>
        <w:pStyle w:val="Heading1"/>
      </w:pPr>
      <w:r>
        <w:t xml:space="preserve">Start here</w:t>
      </w:r>
    </w:p>
    <w:p>
      <w:pPr>
        <w:pStyle w:val="FirstParagraph"/>
      </w:pPr>
      <w:r>
        <w:t xml:space="preserve">Welcome. This document exercises every feature of the pager, and each section tells you which keys to try. Press</w:t>
      </w:r>
      <w:r>
        <w:t xml:space="preserve"> </w:t>
      </w:r>
      <w:r>
        <w:rPr>
          <w:rStyle w:val="VerbatimChar"/>
        </w:rPr>
        <w:t xml:space="preserve">j</w:t>
      </w:r>
      <w:r>
        <w:t xml:space="preserve"> </w:t>
      </w:r>
      <w:r>
        <w:t xml:space="preserve">and</w:t>
      </w:r>
      <w:r>
        <w:t xml:space="preserve"> </w:t>
      </w:r>
      <w:r>
        <w:rPr>
          <w:rStyle w:val="VerbatimChar"/>
        </w:rPr>
        <w:t xml:space="preserve">k</w:t>
      </w:r>
      <w:r>
        <w:t xml:space="preserve"> </w:t>
      </w:r>
      <w:r>
        <w:t xml:space="preserve">to move,</w:t>
      </w:r>
      <w:r>
        <w:t xml:space="preserve"> </w:t>
      </w:r>
      <w:r>
        <w:rPr>
          <w:rStyle w:val="VerbatimChar"/>
        </w:rPr>
        <w:t xml:space="preserve">}</w:t>
      </w:r>
      <w:r>
        <w:t xml:space="preserve"> </w:t>
      </w:r>
      <w:r>
        <w:t xml:space="preserve">to jump to the next paragraph, and</w:t>
      </w:r>
      <w:r>
        <w:t xml:space="preserve"> </w:t>
      </w:r>
      <w:r>
        <w:rPr>
          <w:rStyle w:val="VerbatimChar"/>
        </w:rPr>
        <w:t xml:space="preserve">q</w:t>
      </w:r>
      <w:r>
        <w:t xml:space="preserve"> </w:t>
      </w:r>
      <w:r>
        <w:t xml:space="preserve">whenever you’re done.</w:t>
      </w:r>
      <w:r>
        <w:rPr>
          <w:rStyle w:val="FootnoteReference"/>
        </w:rPr>
        <w:footnoteReference w:id="20"/>
      </w:r>
    </w:p>
    <w:p>
      <w:pPr>
        <w:pStyle w:val="BodyText"/>
      </w:pPr>
      <w:r>
        <w:t xml:space="preserve">Everything you yank arrives on the clipboard as plain text: no fonts, no bold, no hidden Word markup. Paste anywhere to check, for example into a terminal with</w:t>
      </w:r>
      <w:r>
        <w:t xml:space="preserve"> </w:t>
      </w:r>
      <w:r>
        <w:rPr>
          <w:rStyle w:val="VerbatimChar"/>
        </w:rPr>
        <w:t xml:space="preserve">wl-paste</w:t>
      </w:r>
      <w:r>
        <w:t xml:space="preserve">.</w:t>
      </w:r>
    </w:p>
    <w:bookmarkEnd w:id="21"/>
    <w:bookmarkStart w:id="22" w:name="moving-around"/>
    <w:p>
      <w:pPr>
        <w:pStyle w:val="Heading1"/>
      </w:pPr>
      <w:r>
        <w:t xml:space="preserve">Moving around</w:t>
      </w:r>
    </w:p>
    <w:p>
      <w:pPr>
        <w:pStyle w:val="FirstParagraph"/>
      </w:pPr>
      <w:r>
        <w:t xml:space="preserve">Try</w:t>
      </w:r>
      <w:r>
        <w:t xml:space="preserve"> </w:t>
      </w:r>
      <w:r>
        <w:rPr>
          <w:rStyle w:val="VerbatimChar"/>
        </w:rPr>
        <w:t xml:space="preserve">G</w:t>
      </w:r>
      <w:r>
        <w:t xml:space="preserve"> </w:t>
      </w:r>
      <w:r>
        <w:t xml:space="preserve">to go to the bottom and</w:t>
      </w:r>
      <w:r>
        <w:t xml:space="preserve"> </w:t>
      </w:r>
      <w:r>
        <w:rPr>
          <w:rStyle w:val="VerbatimChar"/>
        </w:rPr>
        <w:t xml:space="preserve">gg</w:t>
      </w:r>
      <w:r>
        <w:t xml:space="preserve"> </w:t>
      </w:r>
      <w:r>
        <w:t xml:space="preserve">to come back.</w:t>
      </w:r>
      <w:r>
        <w:t xml:space="preserve"> </w:t>
      </w:r>
      <w:r>
        <w:rPr>
          <w:rStyle w:val="VerbatimChar"/>
        </w:rPr>
        <w:t xml:space="preserve">Ctrl-d</w:t>
      </w:r>
      <w:r>
        <w:t xml:space="preserve"> </w:t>
      </w:r>
      <w:r>
        <w:t xml:space="preserve">and</w:t>
      </w:r>
      <w:r>
        <w:t xml:space="preserve"> </w:t>
      </w:r>
      <w:r>
        <w:rPr>
          <w:rStyle w:val="VerbatimChar"/>
        </w:rPr>
        <w:t xml:space="preserve">Ctrl-u</w:t>
      </w:r>
      <w:r>
        <w:t xml:space="preserve"> </w:t>
      </w:r>
      <w:r>
        <w:t xml:space="preserve">move half a page;</w:t>
      </w:r>
      <w:r>
        <w:t xml:space="preserve"> </w:t>
      </w:r>
      <w:r>
        <w:rPr>
          <w:rStyle w:val="VerbatimChar"/>
        </w:rPr>
        <w:t xml:space="preserve">Space</w:t>
      </w:r>
      <w:r>
        <w:t xml:space="preserve"> </w:t>
      </w:r>
      <w:r>
        <w:t xml:space="preserve">moves a full page.</w:t>
      </w:r>
      <w:r>
        <w:t xml:space="preserve"> </w:t>
      </w:r>
      <w:r>
        <w:rPr>
          <w:rStyle w:val="VerbatimChar"/>
        </w:rPr>
        <w:t xml:space="preserve">50%</w:t>
      </w:r>
      <w:r>
        <w:t xml:space="preserve"> </w:t>
      </w:r>
      <w:r>
        <w:t xml:space="preserve">jumps to the middle of the document, and</w:t>
      </w:r>
      <w:r>
        <w:t xml:space="preserve"> </w:t>
      </w:r>
      <w:r>
        <w:rPr>
          <w:rStyle w:val="VerbatimChar"/>
        </w:rPr>
        <w:t xml:space="preserve">:12</w:t>
      </w:r>
      <w:r>
        <w:t xml:space="preserve"> </w:t>
      </w:r>
      <w:r>
        <w:t xml:space="preserve">jumps to paragraph twelve (the number shown in the status line after the ¶ sign).</w:t>
      </w:r>
    </w:p>
    <w:p>
      <w:pPr>
        <w:pStyle w:val="BodyText"/>
      </w:pPr>
      <w:r>
        <w:t xml:space="preserve">This paragraph is deliberately long so that it wraps across several rows on screen. Put the cursor on the word</w:t>
      </w:r>
      <w:r>
        <w:t xml:space="preserve"> </w:t>
      </w:r>
      <w:r>
        <w:t xml:space="preserve">“</w:t>
      </w:r>
      <w:r>
        <w:t xml:space="preserve">deliberately</w:t>
      </w:r>
      <w:r>
        <w:t xml:space="preserve">”</w:t>
      </w:r>
      <w:r>
        <w:t xml:space="preserve">, press</w:t>
      </w:r>
      <w:r>
        <w:t xml:space="preserve"> </w:t>
      </w:r>
      <w:r>
        <w:rPr>
          <w:rStyle w:val="VerbatimChar"/>
        </w:rPr>
        <w:t xml:space="preserve">v</w:t>
      </w:r>
      <w:r>
        <w:t xml:space="preserve"> </w:t>
      </w:r>
      <w:r>
        <w:t xml:space="preserve">to start a selection, press</w:t>
      </w:r>
      <w:r>
        <w:t xml:space="preserve"> </w:t>
      </w:r>
      <w:r>
        <w:rPr>
          <w:rStyle w:val="VerbatimChar"/>
        </w:rPr>
        <w:t xml:space="preserve">e</w:t>
      </w:r>
      <w:r>
        <w:t xml:space="preserve"> </w:t>
      </w:r>
      <w:r>
        <w:t xml:space="preserve">a few times to extend it word by word, then press</w:t>
      </w:r>
      <w:r>
        <w:t xml:space="preserve"> </w:t>
      </w:r>
      <w:r>
        <w:rPr>
          <w:rStyle w:val="VerbatimChar"/>
        </w:rPr>
        <w:t xml:space="preserve">y</w:t>
      </w:r>
      <w:r>
        <w:t xml:space="preserve">. Paste the result somewhere: it is one continuous line of text, because wrapping exists only on screen and never adds newlines to what you copy. Resize the kitty window and watch the paragraph reflow while the yanked text stays identical.</w:t>
      </w:r>
    </w:p>
    <w:bookmarkEnd w:id="22"/>
    <w:bookmarkStart w:id="23" w:name="lists"/>
    <w:p>
      <w:pPr>
        <w:pStyle w:val="Heading1"/>
      </w:pPr>
      <w:r>
        <w:t xml:space="preserve">Lists</w:t>
      </w:r>
    </w:p>
    <w:p>
      <w:pPr>
        <w:pStyle w:val="FirstParagraph"/>
      </w:pPr>
      <w:r>
        <w:t xml:space="preserve">A numbered procedure with nested steps:</w:t>
      </w:r>
    </w:p>
    <w:p>
      <w:pPr>
        <w:numPr>
          <w:ilvl w:val="0"/>
          <w:numId w:val="1001"/>
        </w:numPr>
        <w:pStyle w:val="Compact"/>
      </w:pPr>
      <w:r>
        <w:t xml:space="preserve">Install the binary with cargo</w:t>
      </w:r>
    </w:p>
    <w:p>
      <w:pPr>
        <w:numPr>
          <w:ilvl w:val="0"/>
          <w:numId w:val="1001"/>
        </w:numPr>
        <w:pStyle w:val="Compact"/>
      </w:pPr>
      <w:r>
        <w:t xml:space="preserve">Register the desktop file</w:t>
      </w:r>
    </w:p>
    <w:p>
      <w:pPr>
        <w:numPr>
          <w:ilvl w:val="1"/>
          <w:numId w:val="1002"/>
        </w:numPr>
        <w:pStyle w:val="Compact"/>
      </w:pPr>
      <w:r>
        <w:t xml:space="preserve">Copy it to the applications folder</w:t>
      </w:r>
    </w:p>
    <w:p>
      <w:pPr>
        <w:numPr>
          <w:ilvl w:val="1"/>
          <w:numId w:val="1002"/>
        </w:numPr>
        <w:pStyle w:val="Compact"/>
      </w:pPr>
      <w:r>
        <w:t xml:space="preserve">Set it as the default for .docx files</w:t>
      </w:r>
    </w:p>
    <w:p>
      <w:pPr>
        <w:numPr>
          <w:ilvl w:val="1"/>
          <w:numId w:val="1002"/>
        </w:numPr>
        <w:pStyle w:val="Compact"/>
      </w:pPr>
      <w:r>
        <w:t xml:space="preserve">Verify with xdg-mime query</w:t>
      </w:r>
    </w:p>
    <w:p>
      <w:pPr>
        <w:numPr>
          <w:ilvl w:val="0"/>
          <w:numId w:val="1001"/>
        </w:numPr>
        <w:pStyle w:val="Compact"/>
      </w:pPr>
      <w:r>
        <w:t xml:space="preserve">Open this document from Yazi</w:t>
      </w:r>
    </w:p>
    <w:p>
      <w:pPr>
        <w:numPr>
          <w:ilvl w:val="0"/>
          <w:numId w:val="1001"/>
        </w:numPr>
        <w:pStyle w:val="Compact"/>
      </w:pPr>
      <w:r>
        <w:t xml:space="preserve">Yank something and paste it</w:t>
      </w:r>
    </w:p>
    <w:p>
      <w:pPr>
        <w:pStyle w:val="FirstParagraph"/>
      </w:pPr>
      <w:r>
        <w:t xml:space="preserve">Put the cursor on step 2 and press</w:t>
      </w:r>
      <w:r>
        <w:t xml:space="preserve"> </w:t>
      </w:r>
      <w:r>
        <w:rPr>
          <w:rStyle w:val="VerbatimChar"/>
        </w:rPr>
        <w:t xml:space="preserve">yy</w:t>
      </w:r>
      <w:r>
        <w:t xml:space="preserve">. You get the text of the step without the</w:t>
      </w:r>
      <w:r>
        <w:t xml:space="preserve"> </w:t>
      </w:r>
      <w:r>
        <w:t xml:space="preserve">“</w:t>
      </w:r>
      <w:r>
        <w:t xml:space="preserve">2.</w:t>
      </w:r>
      <w:r>
        <w:t xml:space="preserve">”</w:t>
      </w:r>
      <w:r>
        <w:t xml:space="preserve">, the same way Vim never yanks line numbers.</w:t>
      </w:r>
    </w:p>
    <w:p>
      <w:pPr>
        <w:pStyle w:val="BodyText"/>
      </w:pPr>
      <w:r>
        <w:t xml:space="preserve">A bullet list right after it, which should get its own block:</w:t>
      </w:r>
    </w:p>
    <w:p>
      <w:pPr>
        <w:numPr>
          <w:ilvl w:val="0"/>
          <w:numId w:val="1003"/>
        </w:numPr>
        <w:pStyle w:val="Compact"/>
      </w:pPr>
      <w:r>
        <w:t xml:space="preserve">Distraction-free reading</w:t>
      </w:r>
    </w:p>
    <w:p>
      <w:pPr>
        <w:numPr>
          <w:ilvl w:val="0"/>
          <w:numId w:val="1003"/>
        </w:numPr>
        <w:pStyle w:val="Compact"/>
      </w:pPr>
      <w:r>
        <w:t xml:space="preserve">Vim motions only</w:t>
      </w:r>
    </w:p>
    <w:p>
      <w:pPr>
        <w:numPr>
          <w:ilvl w:val="0"/>
          <w:numId w:val="1003"/>
        </w:numPr>
        <w:pStyle w:val="Compact"/>
      </w:pPr>
      <w:r>
        <w:t xml:space="preserve">Plain-text clipboard</w:t>
      </w:r>
    </w:p>
    <w:bookmarkEnd w:id="23"/>
    <w:bookmarkStart w:id="24" w:name="tables"/>
    <w:p>
      <w:pPr>
        <w:pStyle w:val="Heading1"/>
      </w:pPr>
      <w:r>
        <w:t xml:space="preserve">Tables</w:t>
      </w:r>
    </w:p>
    <w:p>
      <w:pPr>
        <w:pStyle w:val="FirstParagraph"/>
      </w:pPr>
      <w:r>
        <w:t xml:space="preserve">A narrow table lines its columns up: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Key</w:t>
            </w:r>
          </w:p>
        </w:tc>
        <w:tc>
          <w:tcPr/>
          <w:p>
            <w:pPr>
              <w:pStyle w:val="Compact"/>
              <w:jc w:val="left"/>
            </w:pPr>
            <w:r>
              <w:t xml:space="preserve">Action</w:t>
            </w:r>
          </w:p>
        </w:tc>
        <w:tc>
          <w:tcPr/>
          <w:p>
            <w:pPr>
              <w:pStyle w:val="Compact"/>
              <w:jc w:val="left"/>
            </w:pPr>
            <w:r>
              <w:t xml:space="preserve">Mode</w:t>
            </w:r>
          </w:p>
        </w:tc>
      </w:tr>
      <w:tr>
        <w:tc>
          <w:tcPr/>
          <w:p>
            <w:pPr>
              <w:pStyle w:val="Compact"/>
              <w:jc w:val="left"/>
            </w:pPr>
            <w:r>
              <w:t xml:space="preserve">y</w:t>
            </w:r>
          </w:p>
        </w:tc>
        <w:tc>
          <w:tcPr/>
          <w:p>
            <w:pPr>
              <w:pStyle w:val="Compact"/>
              <w:jc w:val="left"/>
            </w:pPr>
            <w:r>
              <w:t xml:space="preserve">Yank selection</w:t>
            </w:r>
          </w:p>
        </w:tc>
        <w:tc>
          <w:tcPr/>
          <w:p>
            <w:pPr>
              <w:pStyle w:val="Compact"/>
              <w:jc w:val="left"/>
            </w:pPr>
            <w:r>
              <w:t xml:space="preserve">Visual</w:t>
            </w:r>
          </w:p>
        </w:tc>
      </w:tr>
      <w:tr>
        <w:tc>
          <w:tcPr/>
          <w:p>
            <w:pPr>
              <w:pStyle w:val="Compact"/>
              <w:jc w:val="left"/>
            </w:pPr>
            <w:r>
              <w:t xml:space="preserve">yy</w:t>
            </w:r>
          </w:p>
        </w:tc>
        <w:tc>
          <w:tcPr/>
          <w:p>
            <w:pPr>
              <w:pStyle w:val="Compact"/>
              <w:jc w:val="left"/>
            </w:pPr>
            <w:r>
              <w:t xml:space="preserve">Yank paragraph</w:t>
            </w:r>
          </w:p>
        </w:tc>
        <w:tc>
          <w:tcPr/>
          <w:p>
            <w:pPr>
              <w:pStyle w:val="Compact"/>
              <w:jc w:val="left"/>
            </w:pPr>
            <w:r>
              <w:t xml:space="preserve">Normal</w:t>
            </w:r>
          </w:p>
        </w:tc>
      </w:tr>
      <w:tr>
        <w:tc>
          <w:tcPr/>
          <w:p>
            <w:pPr>
              <w:pStyle w:val="Compact"/>
              <w:jc w:val="left"/>
            </w:pPr>
            <w:r>
              <w:t xml:space="preserve">V</w:t>
            </w:r>
          </w:p>
        </w:tc>
        <w:tc>
          <w:tcPr/>
          <w:p>
            <w:pPr>
              <w:pStyle w:val="Compact"/>
              <w:jc w:val="left"/>
            </w:pPr>
            <w:r>
              <w:t xml:space="preserve">Select whole rows</w:t>
            </w:r>
          </w:p>
        </w:tc>
        <w:tc>
          <w:tcPr/>
          <w:p>
            <w:pPr>
              <w:pStyle w:val="Compact"/>
              <w:jc w:val="left"/>
            </w:pPr>
            <w:r>
              <w:t xml:space="preserve">Normal</w:t>
            </w:r>
          </w:p>
        </w:tc>
      </w:tr>
      <w:tr>
        <w:tc>
          <w:tcPr/>
          <w:p>
            <w:pPr>
              <w:pStyle w:val="Compact"/>
              <w:jc w:val="left"/>
            </w:pPr>
            <w:r>
              <w:t xml:space="preserve">/</w:t>
            </w:r>
          </w:p>
        </w:tc>
        <w:tc>
          <w:tcPr/>
          <w:p>
            <w:pPr>
              <w:pStyle w:val="Compact"/>
              <w:jc w:val="left"/>
            </w:pPr>
            <w:r>
              <w:t xml:space="preserve">Search forward</w:t>
            </w:r>
          </w:p>
        </w:tc>
        <w:tc>
          <w:tcPr/>
          <w:p>
            <w:pPr>
              <w:pStyle w:val="Compact"/>
              <w:jc w:val="left"/>
            </w:pPr>
            <w:r>
              <w:t xml:space="preserve">Normal</w:t>
            </w:r>
          </w:p>
        </w:tc>
      </w:tr>
      <w:tr>
        <w:tc>
          <w:tcPr/>
          <w:p>
            <w:pPr>
              <w:pStyle w:val="Compact"/>
              <w:jc w:val="left"/>
            </w:pPr>
            <w:r>
              <w:t xml:space="preserve">n</w:t>
            </w:r>
          </w:p>
        </w:tc>
        <w:tc>
          <w:tcPr/>
          <w:p>
            <w:pPr>
              <w:pStyle w:val="Compact"/>
              <w:jc w:val="left"/>
            </w:pPr>
            <w:r>
              <w:t xml:space="preserve">Next match</w:t>
            </w:r>
          </w:p>
        </w:tc>
        <w:tc>
          <w:tcPr/>
          <w:p>
            <w:pPr>
              <w:pStyle w:val="Compact"/>
              <w:jc w:val="left"/>
            </w:pPr>
            <w:r>
              <w:t xml:space="preserve">Normal</w:t>
            </w:r>
          </w:p>
        </w:tc>
      </w:tr>
    </w:tbl>
    <w:p>
      <w:pPr>
        <w:pStyle w:val="BodyText"/>
      </w:pPr>
      <w:r>
        <w:t xml:space="preserve">Press</w:t>
      </w:r>
      <w:r>
        <w:t xml:space="preserve"> </w:t>
      </w:r>
      <w:r>
        <w:rPr>
          <w:rStyle w:val="VerbatimChar"/>
        </w:rPr>
        <w:t xml:space="preserve">yy</w:t>
      </w:r>
      <w:r>
        <w:t xml:space="preserve"> </w:t>
      </w:r>
      <w:r>
        <w:t xml:space="preserve">on any row above and paste it into a spreadsheet: the cells land in separate columns, because the row is copied as tab-separated text.</w:t>
      </w:r>
    </w:p>
    <w:p>
      <w:pPr>
        <w:pStyle w:val="BodyText"/>
      </w:pPr>
      <w:r>
        <w:t xml:space="preserve">A wide table that can’t fit the reading column falls back to plain separators and wraps: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Responsibility</w:t>
            </w:r>
          </w:p>
        </w:tc>
        <w:tc>
          <w:tcPr/>
          <w:p>
            <w:pPr>
              <w:pStyle w:val="Compact"/>
              <w:jc w:val="left"/>
            </w:pPr>
            <w:r>
              <w:t xml:space="preserve">Notes</w:t>
            </w:r>
          </w:p>
        </w:tc>
      </w:tr>
      <w:tr>
        <w:tc>
          <w:tcPr/>
          <w:p>
            <w:pPr>
              <w:pStyle w:val="Compact"/>
              <w:jc w:val="left"/>
            </w:pPr>
            <w:r>
              <w:t xml:space="preserve">docx.rs</w:t>
            </w:r>
          </w:p>
        </w:tc>
        <w:tc>
          <w:tcPr/>
          <w:p>
            <w:pPr>
              <w:pStyle w:val="Compact"/>
              <w:jc w:val="left"/>
            </w:pPr>
            <w:r>
              <w:t xml:space="preserve">Streams word/document.xml with a pull parser and keeps only text runs</w:t>
            </w:r>
          </w:p>
        </w:tc>
        <w:tc>
          <w:tcPr/>
          <w:p>
            <w:pPr>
              <w:pStyle w:val="Compact"/>
              <w:jc w:val="left"/>
            </w:pPr>
            <w:r>
              <w:t xml:space="preserve">Ignores fonts, colors, images and tracked deletions entirely</w:t>
            </w:r>
          </w:p>
        </w:tc>
      </w:tr>
      <w:tr>
        <w:tc>
          <w:tcPr/>
          <w:p>
            <w:pPr>
              <w:pStyle w:val="Compact"/>
              <w:jc w:val="left"/>
            </w:pPr>
            <w:r>
              <w:t xml:space="preserve">numbering.rs</w:t>
            </w:r>
          </w:p>
        </w:tc>
        <w:tc>
          <w:tcPr/>
          <w:p>
            <w:pPr>
              <w:pStyle w:val="Compact"/>
              <w:jc w:val="left"/>
            </w:pPr>
            <w:r>
              <w:t xml:space="preserve">Turns numbering.xml into real list markers like 1., a) and iv.</w:t>
            </w:r>
          </w:p>
        </w:tc>
        <w:tc>
          <w:tcPr/>
          <w:p>
            <w:pPr>
              <w:pStyle w:val="Compact"/>
              <w:jc w:val="left"/>
            </w:pPr>
            <w:r>
              <w:t xml:space="preserve">Markers are drawn on screen only and never enter the clipboard</w:t>
            </w:r>
          </w:p>
        </w:tc>
      </w:tr>
    </w:tbl>
    <w:bookmarkEnd w:id="24"/>
    <w:bookmarkStart w:id="25" w:name="search"/>
    <w:p>
      <w:pPr>
        <w:pStyle w:val="Heading1"/>
      </w:pPr>
      <w:r>
        <w:t xml:space="preserve">Search</w:t>
      </w:r>
    </w:p>
    <w:p>
      <w:pPr>
        <w:pStyle w:val="FirstParagraph"/>
      </w:pPr>
      <w:r>
        <w:t xml:space="preserve">Press</w:t>
      </w:r>
      <w:r>
        <w:t xml:space="preserve"> </w:t>
      </w:r>
      <w:r>
        <w:rPr>
          <w:rStyle w:val="VerbatimChar"/>
        </w:rPr>
        <w:t xml:space="preserve">/</w:t>
      </w:r>
      <w:r>
        <w:t xml:space="preserve">, type</w:t>
      </w:r>
      <w:r>
        <w:t xml:space="preserve"> </w:t>
      </w:r>
      <w:r>
        <w:rPr>
          <w:rStyle w:val="VerbatimChar"/>
        </w:rPr>
        <w:t xml:space="preserve">clipboard</w:t>
      </w:r>
      <w:r>
        <w:t xml:space="preserve">, and press Enter. Every match is highlighted as you type. Press</w:t>
      </w:r>
      <w:r>
        <w:t xml:space="preserve"> </w:t>
      </w:r>
      <w:r>
        <w:rPr>
          <w:rStyle w:val="VerbatimChar"/>
        </w:rPr>
        <w:t xml:space="preserve">n</w:t>
      </w:r>
      <w:r>
        <w:t xml:space="preserve"> </w:t>
      </w:r>
      <w:r>
        <w:t xml:space="preserve">for the next match and</w:t>
      </w:r>
      <w:r>
        <w:t xml:space="preserve"> </w:t>
      </w:r>
      <w:r>
        <w:rPr>
          <w:rStyle w:val="VerbatimChar"/>
        </w:rPr>
        <w:t xml:space="preserve">N</w:t>
      </w:r>
      <w:r>
        <w:t xml:space="preserve"> </w:t>
      </w:r>
      <w:r>
        <w:t xml:space="preserve">for the previous one. Search is case-insensitive unless you type a capital letter, so</w:t>
      </w:r>
      <w:r>
        <w:t xml:space="preserve"> </w:t>
      </w:r>
      <w:r>
        <w:rPr>
          <w:rStyle w:val="VerbatimChar"/>
        </w:rPr>
        <w:t xml:space="preserve">/Clipboard</w:t>
      </w:r>
      <w:r>
        <w:t xml:space="preserve"> </w:t>
      </w:r>
      <w:r>
        <w:t xml:space="preserve">finds only the capitalized form.</w:t>
      </w:r>
    </w:p>
    <w:p>
      <w:pPr>
        <w:pStyle w:val="BodyText"/>
      </w:pPr>
      <w:r>
        <w:t xml:space="preserve">Search also works inside a selection: press</w:t>
      </w:r>
      <w:r>
        <w:t xml:space="preserve"> </w:t>
      </w:r>
      <w:r>
        <w:rPr>
          <w:rStyle w:val="VerbatimChar"/>
        </w:rPr>
        <w:t xml:space="preserve">v</w:t>
      </w:r>
      <w:r>
        <w:t xml:space="preserve">, then</w:t>
      </w:r>
      <w:r>
        <w:t xml:space="preserve"> </w:t>
      </w:r>
      <w:r>
        <w:rPr>
          <w:rStyle w:val="VerbatimChar"/>
        </w:rPr>
        <w:t xml:space="preserve">/table</w:t>
      </w:r>
      <w:r>
        <w:t xml:space="preserve">, Enter, then</w:t>
      </w:r>
      <w:r>
        <w:t xml:space="preserve"> </w:t>
      </w:r>
      <w:r>
        <w:rPr>
          <w:rStyle w:val="VerbatimChar"/>
        </w:rPr>
        <w:t xml:space="preserve">y</w:t>
      </w:r>
      <w:r>
        <w:t xml:space="preserve"> </w:t>
      </w:r>
      <w:r>
        <w:t xml:space="preserve">to yank everything from the cursor to the next occurrence of</w:t>
      </w:r>
      <w:r>
        <w:t xml:space="preserve"> </w:t>
      </w:r>
      <w:r>
        <w:t xml:space="preserve">“</w:t>
      </w:r>
      <w:r>
        <w:t xml:space="preserve">table</w:t>
      </w:r>
      <w:r>
        <w:t xml:space="preserve">”</w:t>
      </w:r>
      <w:r>
        <w:t xml:space="preserve">.</w:t>
      </w:r>
    </w:p>
    <w:bookmarkEnd w:id="25"/>
    <w:bookmarkStart w:id="28" w:name="footnotes"/>
    <w:p>
      <w:pPr>
        <w:pStyle w:val="Heading1"/>
      </w:pPr>
      <w:r>
        <w:t xml:space="preserve">Footnotes</w:t>
      </w:r>
    </w:p>
    <w:p>
      <w:pPr>
        <w:pStyle w:val="FirstParagraph"/>
      </w:pPr>
      <w:r>
        <w:t xml:space="preserve">This sentence has a footnote.</w:t>
      </w:r>
      <w:r>
        <w:rPr>
          <w:rStyle w:val="FootnoteReference"/>
        </w:rPr>
        <w:footnoteReference w:id="26"/>
      </w:r>
      <w:r>
        <w:t xml:space="preserve"> </w:t>
      </w:r>
      <w:r>
        <w:t xml:space="preserve">And this one has a second.</w:t>
      </w:r>
      <w:r>
        <w:rPr>
          <w:rStyle w:val="FootnoteReference"/>
        </w:rPr>
        <w:footnoteReference w:id="27"/>
      </w:r>
      <w:r>
        <w:t xml:space="preserve"> </w:t>
      </w:r>
      <w:r>
        <w:t xml:space="preserve">To follow a footnote, search for its marker: type</w:t>
      </w:r>
      <w:r>
        <w:t xml:space="preserve"> </w:t>
      </w:r>
      <w:r>
        <w:rPr>
          <w:rStyle w:val="VerbatimChar"/>
        </w:rPr>
        <w:t xml:space="preserve">/[1]</w:t>
      </w:r>
      <w:r>
        <w:t xml:space="preserve"> </w:t>
      </w:r>
      <w:r>
        <w:t xml:space="preserve">and press Enter, then</w:t>
      </w:r>
      <w:r>
        <w:t xml:space="preserve"> </w:t>
      </w:r>
      <w:r>
        <w:rPr>
          <w:rStyle w:val="VerbatimChar"/>
        </w:rPr>
        <w:t xml:space="preserve">n</w:t>
      </w:r>
      <w:r>
        <w:t xml:space="preserve"> </w:t>
      </w:r>
      <w:r>
        <w:t xml:space="preserve">to jump between the reference and the note at the end of the document.</w:t>
      </w:r>
    </w:p>
    <w:bookmarkEnd w:id="28"/>
    <w:bookmarkStart w:id="29" w:name="typography-check"/>
    <w:p>
      <w:pPr>
        <w:pStyle w:val="Heading1"/>
      </w:pPr>
      <w:r>
        <w:t xml:space="preserve">Typography check</w:t>
      </w:r>
    </w:p>
    <w:p>
      <w:pPr>
        <w:pStyle w:val="FirstParagraph"/>
      </w:pPr>
      <w:r>
        <w:t xml:space="preserve">Smart quotes</w:t>
      </w:r>
      <w:r>
        <w:t xml:space="preserve"> </w:t>
      </w:r>
      <w:r>
        <w:t xml:space="preserve">“</w:t>
      </w:r>
      <w:r>
        <w:t xml:space="preserve">like these</w:t>
      </w:r>
      <w:r>
        <w:t xml:space="preserve">”</w:t>
      </w:r>
      <w:r>
        <w:t xml:space="preserve"> </w:t>
      </w:r>
      <w:r>
        <w:t xml:space="preserve">and</w:t>
      </w:r>
      <w:r>
        <w:t xml:space="preserve"> </w:t>
      </w:r>
      <w:r>
        <w:t xml:space="preserve">‘</w:t>
      </w:r>
      <w:r>
        <w:t xml:space="preserve">these</w:t>
      </w:r>
      <w:r>
        <w:t xml:space="preserve">’</w:t>
      </w:r>
      <w:r>
        <w:t xml:space="preserve">, an em dash — and an en dash –, accented words like café, naïve and façade, and a few non-Latin scripts: 日本語のテキスト, Ελληνικά, العربية. The fish &amp; chips ampersand should survive too.</w:t>
      </w:r>
    </w:p>
    <w:p>
      <w:pPr>
        <w:pStyle w:val="BodyText"/>
      </w:pPr>
      <w:r>
        <w:t xml:space="preserve">A line break inside one paragraph,</w:t>
      </w:r>
      <w:r>
        <w:br/>
      </w:r>
      <w:r>
        <w:t xml:space="preserve">should start a new row here without starting a new paragraph.</w:t>
      </w:r>
    </w:p>
    <w:bookmarkEnd w:id="29"/>
    <w:bookmarkStart w:id="30" w:name="done"/>
    <w:p>
      <w:pPr>
        <w:pStyle w:val="Heading1"/>
      </w:pPr>
      <w:r>
        <w:t xml:space="preserve">Done</w:t>
      </w:r>
    </w:p>
    <w:p>
      <w:pPr>
        <w:pStyle w:val="FirstParagraph"/>
      </w:pPr>
      <w:r>
        <w:t xml:space="preserve">Press</w:t>
      </w:r>
      <w:r>
        <w:t xml:space="preserve"> </w:t>
      </w:r>
      <w:r>
        <w:rPr>
          <w:rStyle w:val="VerbatimChar"/>
        </w:rPr>
        <w:t xml:space="preserve">q</w:t>
      </w:r>
      <w:r>
        <w:t xml:space="preserve"> </w:t>
      </w:r>
      <w:r>
        <w:t xml:space="preserve">to quit. If anything above rendered oddly, that’s a bug worth fixing.</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You can also type</w:t>
      </w:r>
      <w:r>
        <w:t xml:space="preserve"> </w:t>
      </w:r>
      <w:r>
        <w:rPr>
          <w:rStyle w:val="VerbatimChar"/>
        </w:rPr>
        <w:t xml:space="preserve">:q</w:t>
      </w:r>
      <w:r>
        <w:t xml:space="preserve"> </w:t>
      </w:r>
      <w:r>
        <w:t xml:space="preserve">and press Enter, as in Vim.</w:t>
      </w:r>
    </w:p>
  </w:footnote>
  <w:footnote w:id="26">
    <w:p>
      <w:pPr>
        <w:pStyle w:val="FootnoteText"/>
      </w:pPr>
      <w:r>
        <w:rPr>
          <w:rStyle w:val="FootnoteReference"/>
        </w:rPr>
        <w:footnoteRef/>
      </w:r>
      <w:r>
        <w:t xml:space="preserve"> </w:t>
      </w:r>
      <w:r>
        <w:t xml:space="preserve">Footnotes are collected at the end, in the order they are referenced.</w:t>
      </w:r>
    </w:p>
  </w:footnote>
  <w:footnote w:id="27">
    <w:p>
      <w:pPr>
        <w:pStyle w:val="FootnoteText"/>
      </w:pPr>
      <w:r>
        <w:rPr>
          <w:rStyle w:val="FootnoteReference"/>
        </w:rPr>
        <w:footnoteRef/>
      </w:r>
      <w:r>
        <w:t xml:space="preserve"> </w:t>
      </w:r>
      <w:r>
        <w:t xml:space="preserve">Search for</w:t>
      </w:r>
      <w:r>
        <w:t xml:space="preserve"> </w:t>
      </w:r>
      <w:r>
        <w:rPr>
          <w:rStyle w:val="VerbatimChar"/>
        </w:rPr>
        <w:t xml:space="preserve">[2]</w:t>
      </w:r>
      <w:r>
        <w:t xml:space="preserve"> </w:t>
      </w:r>
      <w:r>
        <w:t xml:space="preserve">to come back up to where this note was referenced.</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Tour of Wordless</dc:title>
  <dc:creator/>
  <cp:keywords/>
  <dcterms:created xsi:type="dcterms:W3CDTF">2026-10-26T01:51:08Z</dcterms:created>
  <dcterms:modified xsi:type="dcterms:W3CDTF">2026-10-26T01:51:08Z</dcterms:modified>
</cp:coreProperties>
</file>

<file path=docProps/custom.xml><?xml version="1.0" encoding="utf-8"?>
<Properties xmlns="http://schemas.openxmlformats.org/officeDocument/2006/custom-properties" xmlns:vt="http://schemas.openxmlformats.org/officeDocument/2006/docPropsVTypes"/>
</file>