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jc w:val="center"/>
      </w:pPr>
      <w:r>
        <w:rPr>
          <w:rFonts w:ascii="Arial" w:hAnsi="Arial"/>
          <w:b/>
          <w:color w:val="1B3A6B"/>
          <w:sz w:val="56"/>
        </w:rPr>
        <w:t>ANÁLISIS FUNCIONAL</w:t>
      </w:r>
    </w:p>
    <w:p>
      <w:pPr>
        <w:jc w:val="center"/>
      </w:pPr>
      <w:r>
        <w:rPr>
          <w:rFonts w:ascii="Arial" w:hAnsi="Arial"/>
          <w:b/>
          <w:color w:val="C84A14"/>
          <w:sz w:val="40"/>
        </w:rPr>
        <w:t>bank-portal — Banco Meridian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Proyecto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bank-portal · Banco Meridian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Versión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v0.3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Fecha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2026-04-09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Sprints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S1–S23 consolidados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Funcionalidades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86</w:t>
            </w:r>
          </w:p>
        </w:tc>
      </w:tr>
      <w:tr>
        <w:tc>
          <w:tcPr>
            <w:tcW w:type="dxa" w:w="28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r>
              <w:rPr>
                <w:rFonts w:ascii="Arial" w:hAnsi="Arial"/>
                <w:b/>
                <w:color w:val="FFFFFF"/>
                <w:sz w:val="20"/>
              </w:rPr>
              <w:t>Reglas de Negocio</w:t>
            </w:r>
          </w:p>
        </w:tc>
        <w:tc>
          <w:tcPr>
            <w:tcW w:type="dxa" w:w="5102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b/>
                <w:color w:val="1B3A6B"/>
                <w:sz w:val="20"/>
              </w:rPr>
              <w:t>198</w:t>
            </w:r>
          </w:p>
        </w:tc>
      </w:tr>
    </w:tbl>
    <w:p/>
    <w:p>
      <w:pPr>
        <w:jc w:val="center"/>
      </w:pPr>
      <w:r>
        <w:rPr>
          <w:rFonts w:ascii="Arial" w:hAnsi="Arial"/>
          <w:color w:val="AAAAAA"/>
          <w:sz w:val="16"/>
        </w:rPr>
        <w:t>Generado por FA-Agent · SOFIA v2.7 · 2026-04-09 15:16 UTC</w:t>
      </w:r>
    </w:p>
    <w:p>
      <w:r>
        <w:br w:type="page"/>
      </w:r>
    </w:p>
    <w:p>
      <w:bookmarkStart w:id="1" w:name="toc"/>
      <w:pPr>
        <w:pStyle w:val="Heading1"/>
      </w:pPr>
      <w:r>
        <w:rPr>
          <w:rFonts w:ascii="Arial" w:hAnsi="Arial"/>
          <w:color w:val="1B3A6B"/>
          <w:sz w:val="28"/>
        </w:rPr>
        <w:t>ÍNDICE DE CONTENIDOS</w:t>
      </w:r>
      <w:bookmarkEnd w:id="1"/>
    </w:p>
    <w:p/>
    <w:p>
      <w:r>
        <w:rPr>
          <w:rFonts w:ascii="Arial" w:hAnsi="Arial"/>
          <w:color w:val="45699E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after="40" w:before="100"/>
        <w:ind w:left="113"/>
      </w:pPr>
      <w:hyperlink w:anchor="sec1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1.  RESUMEN EJECUTIVO</w:t>
        </w:r>
      </w:hyperlink>
    </w:p>
    <w:p>
      <w:pPr>
        <w:spacing w:after="40" w:before="100"/>
        <w:ind w:left="113"/>
      </w:pPr>
      <w:hyperlink w:anchor="sec2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2.  CONTEXTO DE NEGOCIO</w:t>
        </w:r>
      </w:hyperlink>
    </w:p>
    <w:p>
      <w:pPr>
        <w:spacing w:after="40" w:before="60"/>
        <w:ind w:left="680"/>
      </w:pPr>
      <w:hyperlink w:anchor="sec2_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2.1.  Descripción del proyecto</w:t>
        </w:r>
      </w:hyperlink>
    </w:p>
    <w:p>
      <w:pPr>
        <w:spacing w:after="40" w:before="60"/>
        <w:ind w:left="680"/>
      </w:pPr>
      <w:hyperlink w:anchor="sec2_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2.2.  Actores del sistema</w:t>
        </w:r>
      </w:hyperlink>
    </w:p>
    <w:p>
      <w:pPr>
        <w:spacing w:after="40" w:before="60"/>
        <w:ind w:left="680"/>
      </w:pPr>
      <w:hyperlink w:anchor="sec2_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2.3.  Marco tecnológico</w:t>
        </w:r>
      </w:hyperlink>
    </w:p>
    <w:p>
      <w:pPr>
        <w:spacing w:after="40" w:before="100"/>
        <w:ind w:left="113"/>
      </w:pPr>
      <w:hyperlink w:anchor="sec3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3.  ARQUITECTURA FUNCIONAL</w:t>
        </w:r>
      </w:hyperlink>
    </w:p>
    <w:p>
      <w:pPr>
        <w:spacing w:after="40" w:before="60"/>
        <w:ind w:left="680"/>
      </w:pPr>
      <w:hyperlink w:anchor="sec3_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3.1.  Módulos del sistema</w:t>
        </w:r>
      </w:hyperlink>
    </w:p>
    <w:p>
      <w:pPr>
        <w:spacing w:after="40" w:before="60"/>
        <w:ind w:left="680"/>
      </w:pPr>
      <w:hyperlink w:anchor="sec3_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3.2.  Mapa de dependencias</w:t>
        </w:r>
      </w:hyperlink>
    </w:p>
    <w:p>
      <w:pPr>
        <w:spacing w:after="40" w:before="100"/>
        <w:ind w:left="113"/>
      </w:pPr>
      <w:hyperlink w:anchor="sec4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4.  CATÁLOGO DE FUNCIONALIDADES</w:t>
        </w:r>
      </w:hyperlink>
    </w:p>
    <w:p>
      <w:pPr>
        <w:spacing w:after="40" w:before="60"/>
        <w:ind w:left="680"/>
      </w:pPr>
      <w:hyperlink w:anchor="sprint_1-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4.1.  Sprint 1-2 — FEAT-001</w:t>
        </w:r>
      </w:hyperlink>
    </w:p>
    <w:p>
      <w:pPr>
        <w:spacing w:after="40" w:before="60"/>
        <w:ind w:left="680"/>
      </w:pPr>
      <w:hyperlink w:anchor="sprint_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4.2.  Sprint 3 — FEAT-002</w:t>
        </w:r>
      </w:hyperlink>
    </w:p>
    <w:p>
      <w:pPr>
        <w:spacing w:after="40" w:before="60"/>
        <w:ind w:left="680"/>
      </w:pPr>
      <w:hyperlink w:anchor="sprint_4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4.3.  Sprint 4 — FEAT-003</w:t>
        </w:r>
      </w:hyperlink>
    </w:p>
    <w:p>
      <w:pPr>
        <w:spacing w:after="40" w:before="60"/>
        <w:ind w:left="680"/>
      </w:pPr>
      <w:hyperlink w:anchor="sprint_6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4.4.  Sprint 6 — FEAT-005</w:t>
        </w:r>
      </w:hyperlink>
    </w:p>
    <w:p>
      <w:pPr>
        <w:spacing w:after="40" w:before="60"/>
        <w:ind w:left="680"/>
      </w:pPr>
      <w:hyperlink w:anchor="sprint_7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4.5.  Sprint 7 — FEAT-006</w:t>
        </w:r>
      </w:hyperlink>
    </w:p>
    <w:p>
      <w:pPr>
        <w:spacing w:after="40" w:before="60"/>
        <w:ind w:left="680"/>
      </w:pPr>
      <w:hyperlink w:anchor="sprint_9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4.6.  Sprint 9 — FEAT-007</w:t>
        </w:r>
      </w:hyperlink>
    </w:p>
    <w:p>
      <w:pPr>
        <w:spacing w:after="40" w:before="60"/>
        <w:ind w:left="680"/>
      </w:pPr>
      <w:hyperlink w:anchor="sprint_10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4.7.  Sprint 10 — FEAT-008</w:t>
        </w:r>
      </w:hyperlink>
    </w:p>
    <w:p>
      <w:pPr>
        <w:spacing w:after="40" w:before="60"/>
        <w:ind w:left="680"/>
      </w:pPr>
      <w:hyperlink w:anchor="sprint_1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4.8.  Sprint 11 — FEAT-009</w:t>
        </w:r>
      </w:hyperlink>
    </w:p>
    <w:p>
      <w:pPr>
        <w:spacing w:after="40" w:before="60"/>
        <w:ind w:left="680"/>
      </w:pPr>
      <w:hyperlink w:anchor="sprint_1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4.9.  Sprint 12 — FEAT-010</w:t>
        </w:r>
      </w:hyperlink>
    </w:p>
    <w:p>
      <w:pPr>
        <w:spacing w:after="40" w:before="60"/>
        <w:ind w:left="680"/>
      </w:pPr>
      <w:hyperlink w:anchor="sprint_1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4.10.  Sprint 13 — FEAT-011</w:t>
        </w:r>
      </w:hyperlink>
    </w:p>
    <w:p>
      <w:pPr>
        <w:spacing w:after="40" w:before="60"/>
        <w:ind w:left="680"/>
      </w:pPr>
      <w:hyperlink w:anchor="sprint_14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4.11.  Sprint 14 — FEAT-012</w:t>
        </w:r>
      </w:hyperlink>
    </w:p>
    <w:p>
      <w:pPr>
        <w:spacing w:after="40" w:before="60"/>
        <w:ind w:left="680"/>
      </w:pPr>
      <w:hyperlink w:anchor="sprint_15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4.12.  Sprint 15 — FEAT-013</w:t>
        </w:r>
      </w:hyperlink>
    </w:p>
    <w:p>
      <w:pPr>
        <w:spacing w:after="40" w:before="60"/>
        <w:ind w:left="680"/>
      </w:pPr>
      <w:hyperlink w:anchor="sprint_16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4.13.  Sprint 16 — FEAT-014</w:t>
        </w:r>
      </w:hyperlink>
    </w:p>
    <w:p>
      <w:pPr>
        <w:spacing w:after="40" w:before="60"/>
        <w:ind w:left="680"/>
      </w:pPr>
      <w:hyperlink w:anchor="sprint_17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4.14.  Sprint 17 — FEAT-015</w:t>
        </w:r>
      </w:hyperlink>
    </w:p>
    <w:p>
      <w:pPr>
        <w:spacing w:after="40" w:before="60"/>
        <w:ind w:left="680"/>
      </w:pPr>
      <w:hyperlink w:anchor="sprint_18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4.15.  Sprint 18 — FEAT-016</w:t>
        </w:r>
      </w:hyperlink>
    </w:p>
    <w:p>
      <w:pPr>
        <w:spacing w:after="40" w:before="60"/>
        <w:ind w:left="680"/>
      </w:pPr>
      <w:hyperlink w:anchor="sprint_19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4.16.  Sprint 19 — FEAT-017</w:t>
        </w:r>
      </w:hyperlink>
    </w:p>
    <w:p>
      <w:pPr>
        <w:spacing w:after="40" w:before="60"/>
        <w:ind w:left="680"/>
      </w:pPr>
      <w:hyperlink w:anchor="sprint_20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4.17.  Sprint 20 — DEBT-035 · FEAT-018</w:t>
        </w:r>
      </w:hyperlink>
    </w:p>
    <w:p>
      <w:pPr>
        <w:spacing w:after="40" w:before="60"/>
        <w:ind w:left="680"/>
      </w:pPr>
      <w:hyperlink w:anchor="sprint_21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4.18.  Sprint 21 — FEAT-019</w:t>
        </w:r>
      </w:hyperlink>
    </w:p>
    <w:p>
      <w:pPr>
        <w:spacing w:after="40" w:before="60"/>
        <w:ind w:left="680"/>
      </w:pPr>
      <w:hyperlink w:anchor="sprint_22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4.19.  Sprint 22 — FEAT-020</w:t>
        </w:r>
      </w:hyperlink>
    </w:p>
    <w:p>
      <w:pPr>
        <w:spacing w:after="40" w:before="60"/>
        <w:ind w:left="680"/>
      </w:pPr>
      <w:hyperlink w:anchor="sprint_23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4.20.  Sprint 23 — DEBT-036+037+044 · FEAT-021</w:t>
        </w:r>
      </w:hyperlink>
    </w:p>
    <w:p>
      <w:pPr>
        <w:spacing w:after="40" w:before="60"/>
        <w:ind w:left="680"/>
      </w:pPr>
      <w:hyperlink w:anchor="sprint_5+8" w:history="1">
        <w:r>
          <w:rPr>
            <w:rStyle w:val="Hyperlink"/>
            <w:rFonts w:ascii="Arial" w:hAnsi="Arial" w:cs="Arial"/>
            <w:sz w:val="18"/>
            <w:szCs w:val="18"/>
            <w:color w:val="45699E"/>
            <w:u w:val="single"/>
          </w:rPr>
          <w:t xml:space="preserve">4.21.  Sprint 5+8 — FEAT-004</w:t>
        </w:r>
      </w:hyperlink>
    </w:p>
    <w:p>
      <w:pPr>
        <w:spacing w:after="40" w:before="100"/>
        <w:ind w:left="113"/>
      </w:pPr>
      <w:hyperlink w:anchor="sec5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5.  REGLAS DE NEGOCIO CONSOLIDADAS</w:t>
        </w:r>
      </w:hyperlink>
    </w:p>
    <w:p>
      <w:pPr>
        <w:spacing w:after="40" w:before="100"/>
        <w:ind w:left="113"/>
      </w:pPr>
      <w:hyperlink w:anchor="sec6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6.  GLOSARIO DEL DOMINIO</w:t>
        </w:r>
      </w:hyperlink>
    </w:p>
    <w:p>
      <w:pPr>
        <w:spacing w:after="40" w:before="100"/>
        <w:ind w:left="113"/>
      </w:pPr>
      <w:hyperlink w:anchor="sec7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7.  MATRIZ DE COBERTURA FUNCIONAL</w:t>
        </w:r>
      </w:hyperlink>
    </w:p>
    <w:p>
      <w:pPr>
        <w:spacing w:after="40" w:before="100"/>
        <w:ind w:left="113"/>
      </w:pPr>
      <w:hyperlink w:anchor="sec8" w:history="1">
        <w:r>
          <w:rPr>
            <w:rStyle w:val="Hyperlink"/>
            <w:rFonts w:ascii="Arial" w:hAnsi="Arial" w:cs="Arial"/>
            <w:sz w:val="20"/>
            <w:szCs w:val="20"/>
            <w:color w:val="1B3A6B"/>
            <w:u w:val="single"/>
            <w:b/>
            <w:bCs/>
          </w:rPr>
          <w:t xml:space="preserve">8.  HISTORIAL DE CAMBIOS</w:t>
        </w:r>
      </w:hyperlink>
    </w:p>
    <w:p>
      <w:r>
        <w:rPr>
          <w:rFonts w:ascii="Arial" w:hAnsi="Arial"/>
          <w:color w:val="45699E"/>
          <w:sz w:val="16"/>
        </w:rPr>
        <w:t>──────────────────────────────────────────────────────────────────────────</w:t>
      </w:r>
    </w:p>
    <w:p>
      <w:r>
        <w:rPr>
          <w:rFonts w:ascii="Arial" w:hAnsi="Arial"/>
          <w:i/>
          <w:color w:val="666666"/>
          <w:sz w:val="16"/>
        </w:rPr>
        <w:t>ℹ  Haga clic en cualquier entrada del índice para navegar directamente a la sección. (En Word: Ctrl+Clic en modo edición · Clic directo en modo lectura)</w:t>
      </w:r>
    </w:p>
    <w:p>
      <w:r>
        <w:br w:type="page"/>
      </w:r>
    </w:p>
    <w:p>
      <w:bookmarkStart w:id="2" w:name="sec1"/>
      <w:pPr>
        <w:pStyle w:val="Heading1"/>
      </w:pPr>
      <w:r>
        <w:rPr>
          <w:rFonts w:ascii="Arial" w:hAnsi="Arial"/>
          <w:color w:val="1B3A6B"/>
          <w:sz w:val="28"/>
        </w:rPr>
        <w:t>1. RESUMEN EJECUTIVO</w:t>
      </w:r>
      <w:bookmarkEnd w:id="2"/>
    </w:p>
    <w:p>
      <w:r>
        <w:rPr>
          <w:rFonts w:ascii="Arial" w:hAnsi="Arial"/>
          <w:i w:val="0"/>
          <w:color w:val="333333"/>
          <w:sz w:val="20"/>
        </w:rPr>
        <w:t>Este documento recoge el Análisis Funcional acumulativo del proyecto bank-portal para Banco Meridian, gestionado bajo la metodología SOFIA v2.7 con CMMI Nivel 3 y Scrumban. El documento es un artefacto vivo que se actualiza incrementalmente en cada sprint.</w:t>
      </w:r>
    </w:p>
    <w:p/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Funcionalidades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Reglas de Negocio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Sprints consolidados</w:t>
            </w:r>
          </w:p>
        </w:tc>
        <w:tc>
          <w:tcPr>
            <w:tcW w:type="dxa" w:w="238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Última feature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86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198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S1–S23</w:t>
            </w:r>
          </w:p>
        </w:tc>
        <w:tc>
          <w:tcPr>
            <w:tcW w:type="dxa" w:w="238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>1.1 Estado por sprint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Tests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Cobertura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Release</w:t>
            </w:r>
          </w:p>
        </w:tc>
        <w:tc>
          <w:tcPr>
            <w:tcW w:type="dxa" w:w="102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553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84%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615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85%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677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86%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708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87%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02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88%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02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COMPLETED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>1.2 Leyenda de evidencias</w:t>
      </w:r>
    </w:p>
    <w:p>
      <w:r>
        <w:rPr>
          <w:rFonts w:ascii="Arial" w:hAnsi="Arial"/>
          <w:i w:val="0"/>
          <w:color w:val="333333"/>
          <w:sz w:val="20"/>
        </w:rPr>
        <w:t>Los artefactos de este documento se clasifican por nivel de evidencia: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SPRINT-N: Documentado con evidencia directa del sprint cerrado — artefactos verificados.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RECONSTRUIDO: Inferido desde código fuente, migraciones o retrospectiva — evidencia indirecta.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PLANNED: Funcionalidad planificada en el sprint activo — pendiente de entrega.</w:t>
      </w:r>
    </w:p>
    <w:p>
      <w:r>
        <w:br w:type="page"/>
      </w:r>
    </w:p>
    <w:p>
      <w:bookmarkStart w:id="3" w:name="sec2"/>
      <w:pPr>
        <w:pStyle w:val="Heading1"/>
      </w:pPr>
      <w:r>
        <w:rPr>
          <w:rFonts w:ascii="Arial" w:hAnsi="Arial"/>
          <w:color w:val="1B3A6B"/>
          <w:sz w:val="28"/>
        </w:rPr>
        <w:t>2. CONTEXTO DE NEGOCIO</w:t>
      </w:r>
      <w:bookmarkEnd w:id="3"/>
    </w:p>
    <w:p>
      <w:bookmarkStart w:id="4" w:name="sec2_1"/>
      <w:pPr>
        <w:pStyle w:val="Heading2"/>
      </w:pPr>
      <w:r>
        <w:rPr>
          <w:rFonts w:ascii="Arial" w:hAnsi="Arial"/>
          <w:color w:val="45699E"/>
          <w:sz w:val="24"/>
        </w:rPr>
        <w:t>2.1 Descripción del proyecto</w:t>
      </w:r>
      <w:bookmarkEnd w:id="4"/>
    </w:p>
    <w:p>
      <w:r>
        <w:rPr>
          <w:rFonts w:ascii="Arial" w:hAnsi="Arial"/>
          <w:i w:val="0"/>
          <w:color w:val="333333"/>
          <w:sz w:val="20"/>
        </w:rPr>
        <w:t>bank-portal es un sistema desarrollado para Banco Meridian bajo la metodología SOFIA con CMMI Nivel 3. El desarrollo sigue ciclos Scrumban de 2 semanas con pipeline de calidad automatizado (17 steps, 9 gates HITL).</w:t>
      </w:r>
    </w:p>
    <w:p/>
    <w:p>
      <w:bookmarkStart w:id="5" w:name="sec2_2"/>
      <w:pPr>
        <w:pStyle w:val="Heading2"/>
      </w:pPr>
      <w:r>
        <w:rPr>
          <w:rFonts w:ascii="Arial" w:hAnsi="Arial"/>
          <w:color w:val="45699E"/>
          <w:sz w:val="24"/>
        </w:rPr>
        <w:t>2.2 Actores del sistema</w:t>
      </w:r>
      <w:bookmarkEnd w:id="5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Rol</w:t>
            </w:r>
          </w:p>
        </w:tc>
        <w:tc>
          <w:tcPr>
            <w:tcW w:type="dxa" w:w="368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66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Acceso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Usuario final</w:t>
            </w:r>
          </w:p>
        </w:tc>
        <w:tc>
          <w:tcPr>
            <w:tcW w:type="dxa" w:w="368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Usuario principal del sistema</w:t>
            </w:r>
          </w:p>
        </w:tc>
        <w:tc>
          <w:tcPr>
            <w:tcW w:type="dxa" w:w="266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Web / API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Administrador</w:t>
            </w:r>
          </w:p>
        </w:tc>
        <w:tc>
          <w:tcPr>
            <w:tcW w:type="dxa" w:w="368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configuración y catálogos</w:t>
            </w:r>
          </w:p>
        </w:tc>
        <w:tc>
          <w:tcPr>
            <w:tcW w:type="dxa" w:w="266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Web / API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Sistema</w:t>
            </w:r>
          </w:p>
        </w:tc>
        <w:tc>
          <w:tcPr>
            <w:tcW w:type="dxa" w:w="368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Procesos automáticos y schedulers</w:t>
            </w:r>
          </w:p>
        </w:tc>
        <w:tc>
          <w:tcPr>
            <w:tcW w:type="dxa" w:w="266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Interno</w:t>
            </w:r>
          </w:p>
        </w:tc>
      </w:tr>
    </w:tbl>
    <w:p/>
    <w:p>
      <w:bookmarkStart w:id="6" w:name="sec2_3"/>
      <w:pPr>
        <w:pStyle w:val="Heading2"/>
      </w:pPr>
      <w:r>
        <w:rPr>
          <w:rFonts w:ascii="Arial" w:hAnsi="Arial"/>
          <w:color w:val="45699E"/>
          <w:sz w:val="24"/>
        </w:rPr>
        <w:t>2.3 Marco tecnológico</w:t>
      </w:r>
      <w:bookmarkEnd w:id="6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2268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Capa</w:t>
            </w:r>
          </w:p>
        </w:tc>
        <w:tc>
          <w:tcPr>
            <w:tcW w:type="dxa" w:w="6066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Tecnología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Backend</w:t>
            </w:r>
          </w:p>
        </w:tc>
        <w:tc>
          <w:tcPr>
            <w:tcW w:type="dxa" w:w="6066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java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Frontend</w:t>
            </w:r>
          </w:p>
        </w:tc>
        <w:tc>
          <w:tcPr>
            <w:tcW w:type="dxa" w:w="6066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angular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Base de datos</w:t>
            </w:r>
          </w:p>
        </w:tc>
        <w:tc>
          <w:tcPr>
            <w:tcW w:type="dxa" w:w="6066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postgresql · redis</w:t>
            </w:r>
          </w:p>
        </w:tc>
      </w:tr>
      <w:tr>
        <w:tc>
          <w:tcPr>
            <w:tcW w:type="dxa" w:w="2268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Infraestructura</w:t>
            </w:r>
          </w:p>
        </w:tc>
        <w:tc>
          <w:tcPr>
            <w:tcW w:type="dxa" w:w="6066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docker · jenkins</w:t>
            </w:r>
          </w:p>
        </w:tc>
      </w:tr>
      <w:tr>
        <w:tc>
          <w:tcPr>
            <w:tcW w:type="dxa" w:w="2268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Metodología</w:t>
            </w:r>
          </w:p>
        </w:tc>
        <w:tc>
          <w:tcPr>
            <w:tcW w:type="dxa" w:w="6066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SOFIA v2.7 · Scrumban · CMMI L3 · 17 steps pipeline</w:t>
            </w:r>
          </w:p>
        </w:tc>
      </w:tr>
    </w:tbl>
    <w:p/>
    <w:p>
      <w:bookmarkStart w:id="7" w:name="sec2_4"/>
      <w:pPr>
        <w:pStyle w:val="Heading2"/>
      </w:pPr>
      <w:r>
        <w:rPr>
          <w:rFonts w:ascii="Arial" w:hAnsi="Arial"/>
          <w:color w:val="45699E"/>
          <w:sz w:val="24"/>
        </w:rPr>
        <w:t>2.4 Marco regulatorio</w:t>
      </w:r>
      <w:bookmarkEnd w:id="7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70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Regulación/Estándar</w:t>
            </w:r>
          </w:p>
        </w:tc>
        <w:tc>
          <w:tcPr>
            <w:tcW w:type="dxa" w:w="6633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Ámbito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PSD2-SCA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PSD2-AIS</w:t>
            </w:r>
          </w:p>
        </w:tc>
        <w:tc>
          <w:tcPr>
            <w:tcW w:type="dxa" w:w="6633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PCI-DSS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GDPR</w:t>
            </w:r>
          </w:p>
        </w:tc>
        <w:tc>
          <w:tcPr>
            <w:tcW w:type="dxa" w:w="6633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SEPA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SEPA-DD</w:t>
            </w:r>
          </w:p>
        </w:tc>
        <w:tc>
          <w:tcPr>
            <w:tcW w:type="dxa" w:w="6633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AML-KYC</w:t>
            </w:r>
          </w:p>
        </w:tc>
        <w:tc>
          <w:tcPr>
            <w:tcW w:type="dxa" w:w="6633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Ver funcionalidades afectadas</w:t>
            </w:r>
          </w:p>
        </w:tc>
      </w:tr>
    </w:tbl>
    <w:p>
      <w:r>
        <w:br w:type="page"/>
      </w:r>
    </w:p>
    <w:p>
      <w:bookmarkStart w:id="8" w:name="sec3"/>
      <w:pPr>
        <w:pStyle w:val="Heading1"/>
      </w:pPr>
      <w:r>
        <w:rPr>
          <w:rFonts w:ascii="Arial" w:hAnsi="Arial"/>
          <w:color w:val="1B3A6B"/>
          <w:sz w:val="28"/>
        </w:rPr>
        <w:t>3. ARQUITECTURA FUNCIONAL</w:t>
      </w:r>
      <w:bookmarkEnd w:id="8"/>
    </w:p>
    <w:p>
      <w:bookmarkStart w:id="9" w:name="sec3_1"/>
      <w:pPr>
        <w:pStyle w:val="Heading2"/>
      </w:pPr>
      <w:r>
        <w:rPr>
          <w:rFonts w:ascii="Arial" w:hAnsi="Arial"/>
          <w:color w:val="45699E"/>
          <w:sz w:val="24"/>
        </w:rPr>
        <w:t>3.1 Módulos del sistema</w:t>
      </w:r>
      <w:bookmarkEnd w:id="9"/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70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Módulo</w:t>
            </w:r>
          </w:p>
        </w:tc>
        <w:tc>
          <w:tcPr>
            <w:tcW w:type="dxa" w:w="255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Features</w:t>
            </w:r>
          </w:p>
        </w:tc>
        <w:tc>
          <w:tcPr>
            <w:tcW w:type="dxa" w:w="1417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Sprints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FA count</w:t>
            </w:r>
          </w:p>
        </w:tc>
        <w:tc>
          <w:tcPr>
            <w:tcW w:type="dxa" w:w="153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account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admin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audit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FEAT-001, FEAT-018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20, 1-2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authentication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FEAT-001, FEAT-005, FEAT-006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6, 7, 1-2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7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bill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cards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dashboard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FEAT-010, FEAT-011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12, 13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deposit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6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deposit-frontend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directdebit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DEBT-035, FEAT-017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19, 20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export,card,loan,deposit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DEBT-036+037+044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export/cards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frontend/loans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kyc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15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loans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notification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5+8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notifications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FEAT-014, FEAT-017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16, 19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privacy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profile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FEAT-012, FEAT-019, FEAT-020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14, 21, 22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8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scheduled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17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session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transfer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10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  <w:tr>
        <w:tc>
          <w:tcPr>
            <w:tcW w:type="dxa" w:w="170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trusteddevice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3</w:t>
            </w:r>
          </w:p>
        </w:tc>
        <w:tc>
          <w:tcPr>
            <w:tcW w:type="dxa" w:w="153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ENTREGADO</w:t>
            </w:r>
          </w:p>
        </w:tc>
      </w:tr>
    </w:tbl>
    <w:p/>
    <w:p>
      <w:bookmarkStart w:id="10" w:name="sec3_2"/>
      <w:pPr>
        <w:pStyle w:val="Heading2"/>
      </w:pPr>
      <w:r>
        <w:rPr>
          <w:rFonts w:ascii="Arial" w:hAnsi="Arial"/>
          <w:color w:val="45699E"/>
          <w:sz w:val="24"/>
        </w:rPr>
        <w:t>3.2 Mapa de dependencias</w:t>
      </w:r>
      <w:bookmarkEnd w:id="10"/>
    </w:p>
    <w:p>
      <w:r>
        <w:rPr>
          <w:rFonts w:ascii="Arial" w:hAnsi="Arial"/>
          <w:i w:val="0"/>
          <w:color w:val="333333"/>
          <w:sz w:val="20"/>
        </w:rPr>
        <w:t>Las dependencias entre módulos se documentan en los documentos de arquitectura (HLD/LLD) de cada sprint. El flujo general sigue Clean Architecture / Onion con separación estricta entre Domain, Application e Infrastructure.</w:t>
      </w:r>
    </w:p>
    <w:p>
      <w:r>
        <w:br w:type="page"/>
      </w:r>
    </w:p>
    <w:p>
      <w:bookmarkStart w:id="11" w:name="sec4"/>
      <w:pPr>
        <w:pStyle w:val="Heading1"/>
      </w:pPr>
      <w:r>
        <w:rPr>
          <w:rFonts w:ascii="Arial" w:hAnsi="Arial"/>
          <w:color w:val="1B3A6B"/>
          <w:sz w:val="28"/>
        </w:rPr>
        <w:t>4. CATÁLOGO DE FUNCIONALIDADES</w:t>
      </w:r>
      <w:bookmarkEnd w:id="11"/>
    </w:p>
    <w:p>
      <w:r>
        <w:rPr>
          <w:rFonts w:ascii="Arial" w:hAnsi="Arial"/>
          <w:i w:val="0"/>
          <w:color w:val="333333"/>
          <w:sz w:val="20"/>
        </w:rPr>
        <w:t>Catálogo acumulativo de 86 funcionalidades distribuidas en 23 sprint(s). Se documenta el comportamiento funcional en lenguaje de negocio.</w:t>
      </w:r>
    </w:p>
    <w:p>
      <w:bookmarkStart w:id="12" w:name="sprint_1-2"/>
      <w:pPr>
        <w:pStyle w:val="Heading2"/>
      </w:pPr>
      <w:r>
        <w:rPr>
          <w:rFonts w:ascii="Arial" w:hAnsi="Arial"/>
          <w:color w:val="45699E"/>
          <w:sz w:val="24"/>
        </w:rPr>
        <w:t>4.1  Sprint 1-2 — FEAT-001</w:t>
      </w:r>
      <w:bookmarkEnd w:id="12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FA-001-A — Registro y Activación del Segundo Factor TOTP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[RN-F001-01] El secreto TOTP se almacena siempre cifrado (AES-256-CBC); nunca en claro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[RN-F001-02] El OTP es válido durante 30 segundos; se admite un margen de ±1 período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FA-001-B — Códigos de Recuperación 2FA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[RN-F001-03] Los códigos de recuperación se almacenan hasheados con BCrypt (cost=10); nunca en claro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[RN-F001-04] Cada código de recuperación solo puede usarse una única vez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FA-001-C — Registro de Auditoría Inmutable de Autenticación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[RN-F001-05] El audit_log es inmutable: no se permiten UPDATE ni DELETE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[RN-F001-06] Los registros incluyen siempre IP, user-agent, timestamp UTC y resultado (SUCCESS/FAILURE/BLOCKED)</w:t>
      </w:r>
    </w:p>
    <w:p>
      <w:r>
        <w:br w:type="page"/>
      </w:r>
    </w:p>
    <w:p>
      <w:bookmarkStart w:id="13" w:name="sprint_3"/>
      <w:pPr>
        <w:pStyle w:val="Heading2"/>
      </w:pPr>
      <w:r>
        <w:rPr>
          <w:rFonts w:ascii="Arial" w:hAnsi="Arial"/>
          <w:color w:val="45699E"/>
          <w:sz w:val="24"/>
        </w:rPr>
        <w:t>4.2  Sprint 3 — FEAT-002</w:t>
      </w:r>
      <w:bookmarkEnd w:id="13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FA-002-A — Consulta de Sesiones Activas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[RN-F002-01] Las direcciones IP se muestran enmascaradas en la consulta de sesiones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[RN-F002-02] El token de sesión nunca se almacena en claro; solo su hash SHA-256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FA-002-B — Cierre Remoto de Sesión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[RN-F002-03] El cierre remoto de sesión es irreversible e inmediato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[RN-F002-04] El cliente puede cerrar todas las sesiones excepto la propia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FA-002-C — Invalidación de Sesión por Enlace de Email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[RN-F002-05] El enlace de denegación de sesión es de un solo uso con TTL de 1 hora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[RN-F002-06] El timeout de sesión por inactividad es configurable entre 5 y 60 minutos (máx. PCI-DSS)</w:t>
      </w:r>
    </w:p>
    <w:p>
      <w:r>
        <w:br w:type="page"/>
      </w:r>
    </w:p>
    <w:p>
      <w:bookmarkStart w:id="14" w:name="sprint_4"/>
      <w:pPr>
        <w:pStyle w:val="Heading2"/>
      </w:pPr>
      <w:r>
        <w:rPr>
          <w:rFonts w:ascii="Arial" w:hAnsi="Arial"/>
          <w:color w:val="45699E"/>
          <w:sz w:val="24"/>
        </w:rPr>
        <w:t>4.3  Sprint 4 — FEAT-003</w:t>
      </w:r>
      <w:bookmarkEnd w:id="14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FA-003-A — Registro de Dispositivo de Confianza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[RN-F003-01] El token de confianza se almacena como cookie HttpOnly; nunca en localStorage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[RN-F003-02] El token de confianza expira a los 30 días; se renueva en cada uso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[RN-F003-03] Si el dispositivo cambia de red sustancialmente se requiere re-verificación con OTP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FA-003-B — Login sin OTP desde Dispositivo de Confianza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[RN-F003-04] Un usuario puede tener máximo 5 dispositivos de confianza activos simultáneamente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FA-003-C — Revocación de Dispositivos de Confianza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[RN-F003-05] Un dispositivo revocado debe completar OTP en el siguiente login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[RN-F003-06] El cliente puede revocar todos sus dispositivos de confianza con una única acción</w:t>
      </w:r>
    </w:p>
    <w:p>
      <w:r>
        <w:br w:type="page"/>
      </w:r>
    </w:p>
    <w:p>
      <w:bookmarkStart w:id="15" w:name="sprint_6"/>
      <w:pPr>
        <w:pStyle w:val="Heading2"/>
      </w:pPr>
      <w:r>
        <w:rPr>
          <w:rFonts w:ascii="Arial" w:hAnsi="Arial"/>
          <w:color w:val="45699E"/>
          <w:sz w:val="24"/>
        </w:rPr>
        <w:t>4.4  Sprint 6 — FEAT-005</w:t>
      </w:r>
      <w:bookmarkEnd w:id="15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FA-005-A — Notificaciones de Seguridad en Tiempo Real (SSE)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[RN-F005-01] El canal SSE se cierra automáticamente si la sesión expira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[RN-F005-02] El sistema soporta máximo 500 conexiones SSE simultáneas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FA-005-B — Detección de Login desde Contexto Inusual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[RN-F005-03] Una subred se considera conocida solo tras ser confirmada explícitamente por el cliente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[RN-F005-04] Los logins desde subredes desconocidas siempre generan notificación</w:t>
      </w:r>
    </w:p>
    <w:p>
      <w:r>
        <w:br w:type="page"/>
      </w:r>
    </w:p>
    <w:p>
      <w:bookmarkStart w:id="16" w:name="sprint_7"/>
      <w:pPr>
        <w:pStyle w:val="Heading2"/>
      </w:pPr>
      <w:r>
        <w:rPr>
          <w:rFonts w:ascii="Arial" w:hAnsi="Arial"/>
          <w:color w:val="45699E"/>
          <w:sz w:val="24"/>
        </w:rPr>
        <w:t>4.5  Sprint 7 — FEAT-006</w:t>
      </w:r>
      <w:bookmarkEnd w:id="16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FA-006-A — Bloqueo Automático de Cuenta por Intentos Fallidos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[RN-F006-01] El contador de intentos fallidos se resetea al hacer login exitoso o al desbloquear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[RN-F006-02] La cuenta bloqueada no puede acceder a ningún servicio de BankPortal hasta ser desbloqueada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FA-006-B — Desbloqueo de Cuenta por Email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[RN-F006-03] El token de desbloqueo por email es de único uso y expira en 1 hora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[RN-F006-04] El desbloqueo por email no requiere que el cliente recuerde su contraseña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FA-006-C — Autenticación Contextual por Subred IP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[RN-F006-05] Las alertas de acceso desde ubicación inusual no pueden desactivarse por preferencias del cliente</w:t>
      </w:r>
    </w:p>
    <w:p>
      <w:r>
        <w:br w:type="page"/>
      </w:r>
    </w:p>
    <w:p>
      <w:bookmarkStart w:id="17" w:name="sprint_9"/>
      <w:pPr>
        <w:pStyle w:val="Heading2"/>
      </w:pPr>
      <w:r>
        <w:rPr>
          <w:rFonts w:ascii="Arial" w:hAnsi="Arial"/>
          <w:color w:val="45699E"/>
          <w:sz w:val="24"/>
        </w:rPr>
        <w:t>4.6  Sprint 9 — FEAT-007</w:t>
      </w:r>
      <w:bookmarkEnd w:id="17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FA-007-A — Consulta de Cuentas y Saldos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[RN-F007-01] El saldo disponible y el saldo retenido se muestran siempre separados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[RN-F007-02] El IBAN se muestra en formato estándar europeo (ES + 22 dígitos)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FA-007-B — Historial de Movimientos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[RN-F007-03] Los movimientos negativos son cargos; los positivos son abonos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[RN-F007-04] El historial disponible cubre al menos los últimos 13 meses (normativa EU)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FA-007-C — Búsqueda por Concepto de Movimiento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[RN-F007-05] La búsqueda por concepto opera sobre los últimos 13 meses de movimientos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FA-007-D — Categorización Automática de Gastos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[RN-F007-06] La categorización es automática; el cliente puede corregirla manualmente</w:t>
      </w:r>
    </w:p>
    <w:p>
      <w:r>
        <w:br w:type="page"/>
      </w:r>
    </w:p>
    <w:p>
      <w:bookmarkStart w:id="18" w:name="sprint_10"/>
      <w:pPr>
        <w:pStyle w:val="Heading2"/>
      </w:pPr>
      <w:r>
        <w:rPr>
          <w:rFonts w:ascii="Arial" w:hAnsi="Arial"/>
          <w:color w:val="45699E"/>
          <w:sz w:val="24"/>
        </w:rPr>
        <w:t>4.7  Sprint 10 — FEAT-008</w:t>
      </w:r>
      <w:bookmarkEnd w:id="18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FA-008-A — Transferencia Bancaria Inmediata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[RN-F008-01] El importe se opera siempre en precisión DECIMAL(15,2); nunca con punto flotante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[RN-F008-02] Las transferencias que superan el límite por operación requieren 2FA (SCA)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[RN-F008-03] Límite por operación: 2.000€; límite diario: 3.000€; límite mensual: 10.000€ (configurables por el banco)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FA-008-B — Libreta de Beneficiarios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[RN-F008-04] Un cliente no puede tener dos beneficiarios activos con el mismo IBAN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[RN-F008-05] La baja de un beneficiario es soft delete; el historial de transferencias se conserva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FA-008-C — Límites de Transferencia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[RN-F008-06] Los límites de transferencia son establecidos por el banco; el cliente no puede modificarlos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[RN-F008-07] El acumulado diario se calcula en UTC y se resetea a medianoche</w:t>
      </w:r>
    </w:p>
    <w:p>
      <w:r>
        <w:br w:type="page"/>
      </w:r>
    </w:p>
    <w:p>
      <w:bookmarkStart w:id="19" w:name="sprint_11"/>
      <w:pPr>
        <w:pStyle w:val="Heading2"/>
      </w:pPr>
      <w:r>
        <w:rPr>
          <w:rFonts w:ascii="Arial" w:hAnsi="Arial"/>
          <w:color w:val="45699E"/>
          <w:sz w:val="24"/>
        </w:rPr>
        <w:t>4.8  Sprint 11 — FEAT-009</w:t>
      </w:r>
      <w:bookmarkEnd w:id="19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FA-009-A — Consulta de Recibos Pendientes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[RN-F009-01] Los recibos se muestran ordenados por fecha de vencimiento (más próximos primero)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[RN-F009-02] Un recibo en estado CANCELLED no puede volver a pagarse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FA-009-B — Pago de Recibo Domiciliado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[RN-F009-03] El pago de un recibo requiere saldo disponible suficiente en la cuenta origen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[RN-F009-04] El cliente puede elegir la cuenta cargo entre sus cuentas activas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FA-009-C — Pago Ad-hoc por Referencia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[RN-F009-05] El número de referencia del pago ad-hoc se comunica al emisor para conciliación</w:t>
      </w:r>
    </w:p>
    <w:p>
      <w:r>
        <w:br w:type="page"/>
      </w:r>
    </w:p>
    <w:p>
      <w:bookmarkStart w:id="20" w:name="sprint_12"/>
      <w:pPr>
        <w:pStyle w:val="Heading2"/>
      </w:pPr>
      <w:r>
        <w:rPr>
          <w:rFonts w:ascii="Arial" w:hAnsi="Arial"/>
          <w:color w:val="45699E"/>
          <w:sz w:val="24"/>
        </w:rPr>
        <w:t>4.9  Sprint 12 — FEAT-010</w:t>
      </w:r>
      <w:bookmarkEnd w:id="20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FA-010-A — Resumen de Gastos por Categoría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[RN-F010-01] Los gastos categorizados se calculan de forma asíncrona con un desfase máximo de 5 minutos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[RN-F010-02] Los movimientos sin categoría aparecen en la categoría 'Otros'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FA-010-B — Evolución Mensual de Gastos e Ingresos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[RN-F010-03] La comparativa mensual cubre los últimos 12 períodos completos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FA-010-C — Alertas de Presupuesto Mensual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[RN-F010-04] El presupuesto mensual es establecido por el cliente; no tiene valor predeterminado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[RN-F010-05] Solo se genera una alerta de presupuesto por período y umbral (sin repeticiones)</w:t>
      </w:r>
    </w:p>
    <w:p>
      <w:r>
        <w:br w:type="page"/>
      </w:r>
    </w:p>
    <w:p>
      <w:bookmarkStart w:id="21" w:name="sprint_13"/>
      <w:pPr>
        <w:pStyle w:val="Heading2"/>
      </w:pPr>
      <w:r>
        <w:rPr>
          <w:rFonts w:ascii="Arial" w:hAnsi="Arial"/>
          <w:color w:val="45699E"/>
          <w:sz w:val="24"/>
        </w:rPr>
        <w:t>4.10  Sprint 13 — FEAT-011</w:t>
      </w:r>
      <w:bookmarkEnd w:id="21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FA-011-A — Exportación de Movimientos a PDF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[RN-F011-01] El PDF de extracto incluye siempre los datos del titular y el período exacto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[RN-F011-02] El extracto PDF puede cubrir hasta 13 meses (normativa EU)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FA-011-B — Exportación de Movimientos a Excel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[RN-F011-03] El fichero Excel incluye hoja de movimientos detallados y hoja resumen por categoría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[RN-F011-04] Los importes en Excel usan formato numérico (no texto) para permitir cálculos directos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FA-011-C — Exportación del Informe Analítico de Gastos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[RN-F011-05] El informe analítico solo exporta períodos completos (no el mes en curso parcial)</w:t>
      </w:r>
    </w:p>
    <w:p>
      <w:r>
        <w:br w:type="page"/>
      </w:r>
    </w:p>
    <w:p>
      <w:bookmarkStart w:id="22" w:name="sprint_14"/>
      <w:pPr>
        <w:pStyle w:val="Heading2"/>
      </w:pPr>
      <w:r>
        <w:rPr>
          <w:rFonts w:ascii="Arial" w:hAnsi="Arial"/>
          <w:color w:val="45699E"/>
          <w:sz w:val="24"/>
        </w:rPr>
        <w:t>4.11  Sprint 14 — FEAT-012</w:t>
      </w:r>
      <w:bookmarkEnd w:id="22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FA-012-A — Consulta y Actualización de Datos Personales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[RN-F012-01] El email del cliente no puede modificarse desde BankPortal; requiere trámite presencial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[RN-F012-02] El teléfono móvil debe verificarse antes de usarse para 2FA por SMS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FA-012-B — Cambio de Contraseña con Historial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[RN-F012-03] La nueva contraseña no puede coincidir con ninguna de las 3 anteriores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[RN-F012-04] El cambio de contraseña revoca automáticamente todas las sesiones activas excepto la actual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FA-012-C — Gestión de Preferencias de Comunicación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[RN-F012-05] Las preferencias de comunicación se aplican a todos los módulos de BankPortal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[RN-F012-06] Desactivar el canal push no cancela la suscripción VAPID; solo deja de recibir notificaciones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FA-012-D — Revocación de Tokens JWT Activos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[RN-F012-07] Los JWTs revocados se verifican en tiempo O(1) mediante Redis blacklist; la BD es audit trail</w:t>
      </w:r>
    </w:p>
    <w:p>
      <w:r>
        <w:br w:type="page"/>
      </w:r>
    </w:p>
    <w:p>
      <w:bookmarkStart w:id="23" w:name="sprint_15"/>
      <w:pPr>
        <w:pStyle w:val="Heading2"/>
      </w:pPr>
      <w:r>
        <w:rPr>
          <w:rFonts w:ascii="Arial" w:hAnsi="Arial"/>
          <w:color w:val="45699E"/>
          <w:sz w:val="24"/>
        </w:rPr>
        <w:t>4.12  Sprint 15 — FEAT-013</w:t>
      </w:r>
      <w:bookmarkEnd w:id="23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FA-013-A — Inicio del Proceso KYC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[RN-F013-01] El acceso a transferencias y servicios de pago requiere KYC aprobado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[RN-F013-02] El proceso KYC puede interrumpirse y retomarse antes de enviar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FA-013-B — Carga de Documentos de Identidad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[RN-F013-03] Los documentos se almacenan cifrados (AES-256); nunca en claro en base de datos (ADR-023)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[RN-F013-04] Se verifica el hash SHA-256 del documento al subir para detectar ficheros corruptos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[RN-F013-05] Tipos de documento aceptados: DNI, NIE, Pasaporte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FA-013-C — Revisión y Resolución KYC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[RN-F013-06] El rechazo KYC debe incluir siempre un motivo que se comunica al cliente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[RN-F013-07] Un KYC aprobado no caduca mientras los documentos de identidad estén vigentes</w:t>
      </w:r>
    </w:p>
    <w:p>
      <w:r>
        <w:br w:type="page"/>
      </w:r>
    </w:p>
    <w:p>
      <w:bookmarkStart w:id="24" w:name="sprint_16"/>
      <w:pPr>
        <w:pStyle w:val="Heading2"/>
      </w:pPr>
      <w:r>
        <w:rPr>
          <w:rFonts w:ascii="Arial" w:hAnsi="Arial"/>
          <w:color w:val="45699E"/>
          <w:sz w:val="24"/>
        </w:rPr>
        <w:t>4.13  Sprint 16 — FEAT-014</w:t>
      </w:r>
      <w:bookmarkEnd w:id="24"/>
    </w:p>
    <w:p>
      <w:r>
        <w:rPr>
          <w:rFonts w:ascii="Arial" w:hAnsi="Arial"/>
          <w:i/>
          <w:color w:val="5B8878"/>
          <w:sz w:val="16"/>
        </w:rPr>
        <w:t>Evidencia: EVIDENCIA-DIRECTA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FA-014-001 — Suscripción a Notificaciones Push VAPID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[RN-001] Solo dispositivos con token VAPID registrado activo reciben notificaciones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[RN-002] Un cliente puede registrar hasta 5 dispositivos simultáneamente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[RN-003] El registro VAPID expira a los 12 meses sin actividad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FA-014-002 — Envío de Notificaciones de Movimientos en Tiempo Real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[RN-004] Las notificaciones de movimientos se envían en tiempo real, máximo 30 segundos tras el evento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[RN-005] Los movimientos por importe inferior al umbral configurado no generan notificación por defecto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FA-014-003 — Gestión de Preferencias de Notificación Multicanal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[RN-006] El cliente puede desactivar categorías individualmente; la categoría Seguridad siempre permanece activa</w:t>
      </w:r>
    </w:p>
    <w:p>
      <w:r>
        <w:br w:type="page"/>
      </w:r>
    </w:p>
    <w:p>
      <w:bookmarkStart w:id="25" w:name="sprint_17"/>
      <w:pPr>
        <w:pStyle w:val="Heading2"/>
      </w:pPr>
      <w:r>
        <w:rPr>
          <w:rFonts w:ascii="Arial" w:hAnsi="Arial"/>
          <w:color w:val="45699E"/>
          <w:sz w:val="24"/>
        </w:rPr>
        <w:t>4.14  Sprint 17 — FEAT-015</w:t>
      </w:r>
      <w:bookmarkEnd w:id="25"/>
    </w:p>
    <w:p>
      <w:r>
        <w:rPr>
          <w:rFonts w:ascii="Arial" w:hAnsi="Arial"/>
          <w:i/>
          <w:color w:val="5B8878"/>
          <w:sz w:val="16"/>
        </w:rPr>
        <w:t>Evidencia: EVIDENCIA-DIRECTA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FA-015-A — Programación de Transferencia Única (ONCE)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[RN-F015-01] Una transferencia programada puede cancelarse hasta el día anterior a la ejecución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[RN-F015-02] Sin fondos suficientes en la fecha de ejecución, la transferencia se marca FAILED y se notifica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FA-015-B — Transferencias Recurrentes (WEEKLY/BIWEEKLY/MONTHLY)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[RN-F015-03] Una transferencia recurrente puede pausarse temporalmente y reanudarse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[RN-F015-04] La cancelación de una recurrente no afecta a las ejecuciones ya completadas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[RN-F015-05] Las recurrentes mensuales en días inexistentes se ejecutan el último día hábil del mes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FA-015-C — Consulta y Gestión de Transferencias Programadas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[RN-F015-06] No se puede editar el IBAN destino de una recurrente activa; hay que cancelar y crear nueva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[RN-F015-07] El historial de ejecuciones de transferencias programadas es inmutable</w:t>
      </w:r>
    </w:p>
    <w:p>
      <w:r>
        <w:br w:type="page"/>
      </w:r>
    </w:p>
    <w:p>
      <w:bookmarkStart w:id="26" w:name="sprint_18"/>
      <w:pPr>
        <w:pStyle w:val="Heading2"/>
      </w:pPr>
      <w:r>
        <w:rPr>
          <w:rFonts w:ascii="Arial" w:hAnsi="Arial"/>
          <w:color w:val="45699E"/>
          <w:sz w:val="24"/>
        </w:rPr>
        <w:t>4.15  Sprint 18 — FEAT-016</w:t>
      </w:r>
      <w:bookmarkEnd w:id="26"/>
    </w:p>
    <w:p>
      <w:r>
        <w:rPr>
          <w:rFonts w:ascii="Arial" w:hAnsi="Arial"/>
          <w:i/>
          <w:color w:val="5B8878"/>
          <w:sz w:val="16"/>
        </w:rPr>
        <w:t>Evidencia: EVIDENCIA-DIRECTA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FA-016-007 — Consulta de Tarjetas del Cliente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[RN-012] El cliente solo visualiza tarjetas vinculadas a su identidad verificada en Core Banking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[RN-013] El número de tarjeta se muestra enmascarado (últimos 4 dígitos visibles)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FA-016-008 — Bloqueo y Desbloqueo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[RN-014] El bloqueo de tarjeta es inmediato en todos los canales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[RN-015] El desbloqueo requiere 2FA si han transcurrido más de 60 minutos desde el bloqueo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[RN-016] Una tarjeta bloqueada por el banco no puede ser desbloqueada por el cliente desde la app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FA-016-009 — Cambio de PIN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[RN-017] El cambio de PIN requiere 2FA obligatorio y no puede coincidir con los últimos 3 PINs usados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[RN-018] El PIN no se almacena en BankPortal; se transmite cifrado directamente al Core Banking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FA-016-010 — Gestión de Límites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[RN-019] Los límites de tarjeta están acotados por los máximos del contrato con el banco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[RN-020] El cambio de límites tiene efecto en el siguiente día hábil bancario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FA-016-011 — Notificaciones Push de Operaciones con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[RN-021] Las notificaciones de tarjeta se disparan también para cargos rechazados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FA-016-012 — Historial de Transacciones de Tarjeta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[RN-022] El historial de transacciones cubre los últimos 13 meses (normativa EU)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[RN-023] Las transacciones en divisa extranjera muestran importe original y tipo de cambio aplicado</w:t>
      </w:r>
    </w:p>
    <w:p>
      <w:r>
        <w:br w:type="page"/>
      </w:r>
    </w:p>
    <w:p>
      <w:bookmarkStart w:id="27" w:name="sprint_19"/>
      <w:pPr>
        <w:pStyle w:val="Heading2"/>
      </w:pPr>
      <w:r>
        <w:rPr>
          <w:rFonts w:ascii="Arial" w:hAnsi="Arial"/>
          <w:color w:val="45699E"/>
          <w:sz w:val="24"/>
        </w:rPr>
        <w:t>4.16  Sprint 19 — FEAT-017</w:t>
      </w:r>
      <w:bookmarkEnd w:id="27"/>
    </w:p>
    <w:p>
      <w:r>
        <w:rPr>
          <w:rFonts w:ascii="Arial" w:hAnsi="Arial"/>
          <w:i/>
          <w:color w:val="5B8878"/>
          <w:sz w:val="16"/>
        </w:rPr>
        <w:t>Evidencia: SPRINT-19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FA-017-A — Alta de Mandato SEPA Direct Debit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[RN-F017-01] La creación de mandato SEPA requiere autenticación fuerte OTP (SCA PSD2 Art.97)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[RN-F017-02] El IBAN del acreedor debe cumplir ISO 13616 y pertenecer a un país SEPA (34 países)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[RN-F017-03] No pueden existir dos mandatos ACTIVE con el mismo acreedor e IBAN para el mismo cliente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FA-017-B — Consulta y Listado de Mandatos SEPA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[RN-F017-04] El cliente solo puede consultar sus propios mandatos y recibos (aislamiento estricto por usuario)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[RN-F017-05] Los recibos se muestran en orden cronológico descendente, paginados con máximo 50 registros por página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FA-017-C — Cancelacion de Mandato SEPA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[RN-F017-06] La cancelación de mandato requiere OTP 2FA (operación de alto impacto)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[RN-F017-07] No se puede cancelar si existe recibo PENDING con due_date &lt;= hoy + 2 días hábiles (PSD2 Art.80 D-2)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FA-017-D — Notificacion Push Domiciliacion Procesada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[RN-F017-08] Las notificaciones push de domiciliación son opcionales si el cliente no tiene token de dispositivo registrado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[RN-F017-09] El tiempo máximo entre el evento de domiciliación y la notificación push es de 30 segundos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FA-017-E — Exportacion Extracto Domiciliaciones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[RN-F017-10] La exportación del extracto de domiciliaciones cubre el historial completo del mandato seleccionado</w:t>
      </w:r>
    </w:p>
    <w:p>
      <w:r>
        <w:br w:type="page"/>
      </w:r>
    </w:p>
    <w:p>
      <w:bookmarkStart w:id="28" w:name="sprint_20"/>
      <w:pPr>
        <w:pStyle w:val="Heading2"/>
      </w:pPr>
      <w:r>
        <w:rPr>
          <w:rFonts w:ascii="Arial" w:hAnsi="Arial"/>
          <w:color w:val="45699E"/>
          <w:sz w:val="24"/>
        </w:rPr>
        <w:t>4.17  Sprint 20 — DEBT-035 · FEAT-018</w:t>
      </w:r>
      <w:bookmarkEnd w:id="28"/>
    </w:p>
    <w:p>
      <w:r>
        <w:rPr>
          <w:rFonts w:ascii="Arial" w:hAnsi="Arial"/>
          <w:i/>
          <w:color w:val="5B8878"/>
          <w:sz w:val="16"/>
        </w:rPr>
        <w:t>Evidencia: SPRINT-20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FA-018-A — Generacion de Extracto PDF de Movimientos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[RN-F018-01] El rango máximo de historial exportable es 12 meses desde la fecha de solicitud (PSD2 Art.47 §2)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[RN-F018-02] El PAN de tarjeta debe aparecer enmascarado — solo últimos 4 dígitos visibles (PCI-DSS Req.3.4)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[RN-F018-03] El PDF incluye hash SHA-256 del contenido como garantía de integridad y no repudio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[RN-F018-04] Máximo 500 registros por exportación; si se supera, el sistema informa y solicita reducir el rango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FA-018-B — Generacion de Extracto CSV de Movimientos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[RN-F018-05] El CSV usa UTF-8 BOM para compatibilidad con Excel en español (evita problemas con caracteres acentuados)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[RN-F018-06] El separador de campos CSV es ';' (estándar europeo) y el separador decimal es ','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[RN-F018-07] El PAN no se incluye en ninguna columna del CSV; las tarjetas se referencian por alias o últimos 4 dígitos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[RN-F018-08] La primera fila del CSV contiene los nombres de columna en español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FA-018-C — Filtrado Multicriteria de Movimientos para Exportacion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[RN-F018-09] La fecha mínima seleccionable para exportación es 12 meses atrás desde la fecha actual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[RN-F018-10] Si el preview count supera 500 registros el sistema muestra aviso y bloquea la exportación hasta reducir el rango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[RN-F018-11] Los filtros aplicados se registran en el export_audit_log para trazabilidad GDPR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FA-018-D — Audit Log de Exportaciones (GDPR + PCI-DSS)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[RN-F018-12] El audit log de exportaciones es asíncrono — su fallo no interrumpe la exportación (fire-and-forget x3)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[RN-F018-13] Retención obligatoria del audit log de exportaciones: 7 años (GDPR Art.17 §3.b y PCI-DSS Req.10.7)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[RN-F018-14] Solo usuarios con rol ADMIN pueden consultar el audit log completo de exportaciones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[RN-F018-15] El hash SHA-256 del PDF generado se almacena en el audit log para verificación posterior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FA-DEBT035-A — Notificacion Push RETURNED CoreBanking (R-code SEPA)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[RN-DEBT035-01] Al recibir estado RETURNED del CoreBanking el mandato se actualiza con R-code y motivo SEPA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[RN-DEBT035-02] Se envía notificación push al titular con descripción legible del R-code (ej: R01='Fondos insuficientes')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[RN-DEBT035-03] El evento RETURNED queda registrado en el audit trail con timestamp, mandato_id y R-code</w:t>
      </w:r>
    </w:p>
    <w:p>
      <w:r>
        <w:br w:type="page"/>
      </w:r>
    </w:p>
    <w:p>
      <w:bookmarkStart w:id="29" w:name="sprint_21"/>
      <w:pPr>
        <w:pStyle w:val="Heading2"/>
      </w:pPr>
      <w:r>
        <w:rPr>
          <w:rFonts w:ascii="Arial" w:hAnsi="Arial"/>
          <w:color w:val="45699E"/>
          <w:sz w:val="24"/>
        </w:rPr>
        <w:t>4.18  Sprint 21 — FEAT-019</w:t>
      </w:r>
      <w:bookmarkEnd w:id="29"/>
    </w:p>
    <w:p>
      <w:r>
        <w:rPr>
          <w:rFonts w:ascii="Arial" w:hAnsi="Arial"/>
          <w:i/>
          <w:color w:val="5B8878"/>
          <w:sz w:val="16"/>
        </w:rPr>
        <w:t>Evidencia: SPRINT-21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FA-019-A — Consulta de Datos Personales desde Perfil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[RN-F019-01] El email es solo lectura — no puede modificarse desde la app (requiere tramite presencial en oficina)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[RN-F019-02] El telefono se muestra parcialmente enmascarado en la consulta (primeros digitos ocultos)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[RN-F019-03] Si kycStatus = PENDING, todos los campos del perfil son solo lectura — HTTP 423 si intenta editar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[RN-F019-04] Tiempo de respuesta GET /api/v1/profile &lt; 1 segundo bajo carga normal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FA-019-B — Actualizacion de Datos Personales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[RN-F019-05] El cambio de telefono movil requiere verificacion OTP enviado al numero actual — SCA PSD2 Art.97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[RN-F019-06] El email NO es campo modificable bajo ninguna circunstancia desde la API — campo ignorado en PATCH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[RN-F019-07] Validacion cruzada con KYC: si kycStatus = PENDING la actualizacion de perfil devuelve HTTP 423 Locked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[RN-F019-08] Todos los cambios de perfil se registran en audit_log con timestamp, IP y valores anterior/nuevo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[RN-F019-09] Nombre y apellidos no pueden quedar vacios — longitud minima 2 caracteres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FA-019-C — Gestion de Sesiones Activas y Cierre Remoto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[RN-F019-10] La sesion actual (isCurrent=true) no puede cerrarse remotamente — HTTP 409 Conflict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[RN-F019-11] El cierre remoto de sesion invalida el JWT inmediatamente via Redis blacklist usando TokenService (S20)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[RN-F019-12] La IP de sesion se muestra siempre enmascarada en el listado (hereda RN-F002-01)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[RN-F019-13] Maximo 5 sesiones simultaneas por usuario (hereda RN-F003-04)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[RN-F019-14] El cierre remoto de sesion queda registrado en audit_log con sessionId, userId e IP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FA-019-D — Gestion de Consentimientos GDPR con Historial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[RN-F019-15] El consentimiento de tipo SECURITY no puede desactivarse — HTTP 422 con mensaje explicativo (hereda RN-F004-06)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[RN-F019-16] Cada cambio de consentimiento genera registro inmutable en consent_history: userId, tipo, valor_anterior, valor_nuevo, timestamp, IP_origen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[RN-F019-17] Los consentimientos de COMMUNICATIONS se sincronizan con preferencias de notificacion (FEAT-014) transaccionalmente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[RN-F019-18] El historial consent_history es solo lectura para el usuario — no se puede modificar ni eliminar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FA-019-E — Portabilidad de Datos — Descarga JSON Firmado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[RN-F019-19] Solo puede haber un data-export activo (PENDING o IN_PROGRESS) por usuario simultaneamente — HTTP 409 si se solicita otro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[RN-F019-20] La generacion del data-export es asincrona (@Async) — SLA maximo 24 horas desde la solicitud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[RN-F019-21] El JSON del data-export lleva firma SHA-256 del contenido para garantia de integridad (hereda patron FEAT-018)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[RN-F019-22] Se envia notificacion push al usuario cuando el data-export esta disponible para descarga (reutiliza NotificationService FEAT-014)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[RN-F019-23] El enlace de descarga del data-export expira en 48 horas — HTTP 410 Gone pasado ese tiempo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[RN-F019-24] La solicitud de data-export queda registrada en gdpr_requests con estado PENDING y sla_deadline = createdAt + 30 dias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FA-019-F — Derecho al Olvido — Eliminacion de Cuenta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[RN-F019-25] La solicitud de eliminacion requiere OTP 2FA valido — SCA aplicado por seguridad aunque GDPR no lo exige expresamente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[RN-F019-26] El enlace de email de confirmacion de eliminacion es de un solo uso con TTL 24 horas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[RN-F019-27] Tras confirmacion email la cuenta queda SUSPENDED inmediatamente — no puede operar en BankPortal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[RN-F019-28] Borrado logico: nombre → USUARIO ELIMINADO, apellidos → string vacio, email → hash SHA-256 irreversible, telefono → null, direccion → null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[RN-F019-29] Los registros de audit_log y gdpr_requests se conservan integros tras borrado logico — excepcion legal GDPR Art.17§3.b (6 años)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[RN-F019-30] Notificacion a CoreBanking via webhook POST /corebankng/api/account-deletion — fire-and-forget: si falla se registra DEBT-040, el proceso no se bloquea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[RN-F019-31] SLA GDPR Art.12§3: ejecucion completa del borrado logico en 30 dias desde confirmacion del usuario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[RN-F019-32] El usuario recibe email de confirmacion de inicio del borrado y email de confirmacion de borrado completado (dia 30)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FA-019-G — Log de Derechos GDPR — Panel Administracion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[RN-F019-33] Solo usuarios con rol ADMIN pueden acceder al endpoint GET /api/v1/admin/gdpr-requests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[RN-F019-34] El SLA de respuesta a solicitudes GDPR es 30 dias desde la solicitud (GDPR Art.12§3)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[RN-F019-35] Si sla_deadline - NOW() &lt; 5 dias y estado != COMPLETED: alerta push a usuarios ADMIN + sla_alert_sent = true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[RN-F019-36] Retencion obligatoria del log gdpr_requests: 6 años (GDPR Art.17§3.b + Ley Contabilidad)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[RN-F019-37] El log gdpr_requests es append-only — no se permiten UPDATE ni DELETE de registros historicos</w:t>
      </w:r>
    </w:p>
    <w:p>
      <w:r>
        <w:br w:type="page"/>
      </w:r>
    </w:p>
    <w:p>
      <w:bookmarkStart w:id="30" w:name="sprint_22"/>
      <w:pPr>
        <w:pStyle w:val="Heading2"/>
      </w:pPr>
      <w:r>
        <w:rPr>
          <w:rFonts w:ascii="Arial" w:hAnsi="Arial"/>
          <w:color w:val="45699E"/>
          <w:sz w:val="24"/>
        </w:rPr>
        <w:t>4.19  Sprint 22 — FEAT-020</w:t>
      </w:r>
      <w:bookmarkEnd w:id="30"/>
    </w:p>
    <w:p>
      <w:r>
        <w:rPr>
          <w:rFonts w:ascii="Arial" w:hAnsi="Arial"/>
          <w:i/>
          <w:color w:val="45699E"/>
          <w:sz w:val="16"/>
        </w:rPr>
        <w:t>Evidencia: SCRUM-120, SCRUM-115, SCRUM-121, SCRUM-116, SCRUM-117, SCRUM-118, SCRUM-119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FA-020-A — Consulta de Préstamos Activos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[RN-F020-01] Listado devuelve solo préstamos del usuario autenticado — nunca de otros usuarios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[RN-F020-02] Estados válidos de préstamo: ACTIVE, PENDING, APPROVED, REJECTED, PAID_OFF, CANCELLED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[RN-F020-03] Detalle incluye: capital original, saldo pendiente, TAE, cuota mensual, cuotas pagadas/pendientes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FA-020-B — Simulador de Préstamo Personal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[RN-F020-04] Simulación es stateless — no persiste ningún dato en base de datos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[RN-F020-05] Importe válido para simulación y solicitud: 1.000 – 60.000 EUR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[RN-F020-06] Plazo válido para simulación y solicitud: 12 – 84 meses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[RN-F020-07] TAE calculada según fórmula Directiva 2008/48/CE (crédito al consumo europeo)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FA-020-C — Solicitud de Préstamo con Pre-scoring y 2FA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[RN-F020-09] Solicitud de préstamo requiere validación OTP 2FA previa (patrón LA-DEBT-041)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[RN-F020-10] Pre-scoring mock: hash(userId) % 1000 → score &gt; 600 = PENDING; ≤ 600 = REJECTED (RSK-022-01)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[RN-F020-11] Solicitud duplicada con estado PENDING activo → HTTP 409 Conflict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[RN-F020-12] Campos obligatorios en solicitud: importe, plazo, finalidad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[RN-F020-13] Finalidades válidas: CONSUMO, VEHICULO, REFORMA, OTROS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[RN-F020-14] Audit log obligatorio para toda solicitud de préstamo (creación, cambio estado, cancelación)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FA-020-D — Cuadro de Amortización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[RN-F020-17] Cuadro de amortización generado dinámicamente desde parámetros del préstamo — no persistido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[RN-F020-18] Cumplimiento Ley 16/2011: información precontractual obligatoria en simulación y solicitud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FA-020-E — Cancelación de Solicitud de Préstamo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[RN-F020-15] No se puede cancelar solicitud en estado APPROVED o PAID_OFF — HTTP 422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[RN-F020-16] Solo el propietario (mismo userId) puede cancelar su propia solicitud — HTTP 403 si otro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FA-020-F — Frontend Angular — Módulo Préstamos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[RN-F020-01] Listado devuelve solo préstamos del usuario autenticado — nunca de otros usuarios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[RN-F020-02] Estados válidos de préstamo: ACTIVE, PENDING, APPROVED, REJECTED, PAID_OFF, CANCELLED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[RN-F020-03] Detalle incluye: capital original, saldo pendiente, TAE, cuota mensual, cuotas pagadas/pendientes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[RN-F020-04] Simulación es stateless — no persiste ningún dato en base de datos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[RN-F020-05] Importe válido para simulación y solicitud: 1.000 – 60.000 EUR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[RN-F020-06] Plazo válido para simulación y solicitud: 12 – 84 meses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[RN-F020-07] TAE calculada según fórmula Directiva 2008/48/CE (crédito al consumo europeo)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[RN-F020-08] Cálculo cuota: método francés, BigDecimal escala 10, RoundingMode.HALF_EVEN (ADR-034)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[RN-F020-09] Solicitud de préstamo requiere validación OTP 2FA previa (patrón LA-DEBT-041)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FA-DEBT043-A — Endpoints Notificaciones y Sesiones en Perfil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[RN-F020-19] GET /api/v1/profile/notifications → HTTP 200 con [] si sin datos — nunca 404 (DEBT-043)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[RN-F020-20] GET /api/v1/profile/sessions → HTTP 200 con [] si sin datos — nunca 404 (DEBT-043)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FA-DEBT036-A — IBAN en Audit Log y Validación PAN Maestro</w:t>
      </w:r>
    </w:p>
    <w:p>
      <w:r>
        <w:rPr>
          <w:rFonts w:ascii="Arial" w:hAnsi="Arial"/>
          <w:b/>
          <w:color w:val="B45309"/>
          <w:sz w:val="18"/>
        </w:rPr>
        <w:t>Estado: PLANNED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[RN-F020-21] ExportAuditService debe registrar IBAN real resuelto desde AccountRepository (DEBT-036, LA-020-03)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[RN-F020-22] Regex PAN Maestro acepta 12–19 dígitos — CVSS 2.1 corregido (DEBT-037)</w:t>
      </w:r>
    </w:p>
    <w:p>
      <w:r>
        <w:br w:type="page"/>
      </w:r>
    </w:p>
    <w:p>
      <w:bookmarkStart w:id="31" w:name="sprint_23"/>
      <w:pPr>
        <w:pStyle w:val="Heading2"/>
      </w:pPr>
      <w:r>
        <w:rPr>
          <w:rFonts w:ascii="Arial" w:hAnsi="Arial"/>
          <w:color w:val="45699E"/>
          <w:sz w:val="24"/>
        </w:rPr>
        <w:t>4.20  Sprint 23 — DEBT-036+037+044 · FEAT-021</w:t>
      </w:r>
      <w:bookmarkEnd w:id="31"/>
    </w:p>
    <w:p>
      <w:r>
        <w:rPr>
          <w:rFonts w:ascii="Arial" w:hAnsi="Arial"/>
          <w:i/>
          <w:color w:val="45699E"/>
          <w:sz w:val="16"/>
        </w:rPr>
        <w:t>Evidencia: US-F021-03, US-F021-01, US-F021-02, US-F021-04, US-F021-01..06, DEBT-036 + DEBT-037 + DEBT-044, US-F021-06, US-F021-05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FA-021-A — Consulta de Depósitos Activos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[RN-F021-05] Badge FGD informativo si importe del depósito ≤ 100.000€ (RDL 16/2011). Cobertura por titular y entidad.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FA-021-B — Detalle de Depósito y Cuadro de Liquidación IRPF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[RN-F021-04] Retención IRPF en origen por tramos (Art.25 Ley 35/2006): 19% hasta 6.000€ / 21% entre 6.001€ y 50.000€ / 23% superior a 50.000€.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[RN-F021-06] Todos los cálculos monetarios (intereses, IRPF, penalización) usan BigDecimal con redondeo HALF_EVEN (coherente con ADR-034).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FA-021-C — Simulador de Depósito a Plazo Fijo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[RN-F021-01] Importe mínimo de depósito: 1.000€. Por debajo → 400 AMOUNT_TOO_LOW.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[RN-F021-02] Plazo del depósito: mínimo 1 mes, máximo 60 meses. Fuera de rango → 400.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[RN-F021-04] Retención IRPF en origen por tramos (Art.25 Ley 35/2006): 19% hasta 6.000€ / 21% entre 6.001€ y 50.000€ / 23% superior a 50.000€.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[RN-F021-06] Todos los cálculos monetarios (intereses, IRPF, penalización) usan BigDecimal con redondeo HALF_EVEN (coherente con ADR-034).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FA-021-D — Apertura de Depósito con Confirmación 2FA (SCA)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[RN-F021-01] Importe mínimo de depósito: 1.000€. Por debajo → 400 AMOUNT_TOO_LOW.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[RN-F021-02] Plazo del depósito: mínimo 1 mes, máximo 60 meses. Fuera de rango → 400.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[RN-F021-07] Instrucción de renovación por defecto: RENEW_MANUAL. El cliente debe instruir explícitamente si desea renovación automática.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[RN-F021-08] OTP 2FA obligatorio para apertura y cancelación anticipada de depósito (PSD2 SCA). Sin OTP → 400 OTP_REQUIRED. OTP inválido → 401 OTP_INVALID.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FA-021-E — Instrucción de Renovación al Vencimiento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[RN-F021-07] Instrucción de renovación por defecto: RENEW_MANUAL. El cliente debe instruir explícitamente si desea renovación automática.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FA-021-F — Cancelación Anticipada de Depósito con Penalización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[RN-F021-08] OTP 2FA obligatorio para apertura y cancelación anticipada de depósito (PSD2 SCA). Sin OTP → 400 OTP_REQUIRED. OTP inválido → 401 OTP_INVALID.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[RN-F021-09] Penalización por cancelación anticipada = porcentaje configurable (application.properties) × intereses devengados hasta la fecha de cancelación.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[RN-F021-10] Aislamiento total entre clientes: un cliente no puede consultar, modificar ni cancelar depósitos de otro. Violación → 403 ACCESS_DENIED.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FA-021-G — Módulo Angular Depósitos — Frontend Portal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[RN-F021-05] Badge FGD informativo si importe del depósito ≤ 100.000€ (RDL 16/2011). Cobertura por titular y entidad.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FA-DEBT-023A — Cierre Deuda Técnica Sprint 23: IBAN Audit Log · Regex PAN Maestro · TAE Externalizado</w:t>
      </w:r>
    </w:p>
    <w:p>
      <w:r>
        <w:rPr>
          <w:rFonts w:ascii="Arial" w:hAnsi="Arial"/>
          <w:b/>
          <w:color w:val="45699E"/>
          <w:sz w:val="18"/>
        </w:rPr>
        <w:t>Estado: ACTIVE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[RN-F021-03] TIN y TAE configurables en application.properties por perfil de entorno. Sin hardcode en código fuente (DEBT-044).</w:t>
      </w:r>
    </w:p>
    <w:p>
      <w:r>
        <w:br w:type="page"/>
      </w:r>
    </w:p>
    <w:p>
      <w:bookmarkStart w:id="32" w:name="sprint_5+8"/>
      <w:pPr>
        <w:pStyle w:val="Heading2"/>
      </w:pPr>
      <w:r>
        <w:rPr>
          <w:rFonts w:ascii="Arial" w:hAnsi="Arial"/>
          <w:color w:val="45699E"/>
          <w:sz w:val="24"/>
        </w:rPr>
        <w:t>4.21  Sprint 5+8 — FEAT-004</w:t>
      </w:r>
      <w:bookmarkEnd w:id="32"/>
    </w:p>
    <w:p>
      <w:r>
        <w:rPr>
          <w:rFonts w:ascii="Arial" w:hAnsi="Arial"/>
          <w:i/>
          <w:color w:val="B45309"/>
          <w:sz w:val="16"/>
        </w:rPr>
        <w:t>Evidencia: RECONSTRUIDO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FA-004-A — Historial de Notificaciones de Seguridad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[RN-F004-01] Las notificaciones de seguridad se retienen durante 90 días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[RN-F004-02] Las notificaciones de severidad ALTA (login sospechoso, bloqueo) no pueden desactivarse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FA-004-B — Gestión de Notificaciones (Leídas/No Leídas)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[RN-F004-03] Marcar una notificación como leída NO elimina el registro del audit_log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[RN-F004-04] El badge de notificaciones no leídas se actualiza en tiempo real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FA-004-C — Acciones Directas desde Notificación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[RN-F004-05] Las acciones directas desde notificación requieren sesión activa del cliente</w:t>
      </w:r>
    </w:p>
    <w:p>
      <w:pPr>
        <w:pStyle w:val="Heading3"/>
      </w:pPr>
      <w:r>
        <w:rPr>
          <w:rFonts w:ascii="Arial" w:hAnsi="Arial"/>
          <w:color w:val="C84A14"/>
          <w:sz w:val="22"/>
        </w:rPr>
        <w:t>FA-004-D — Preferencias de Notificación por Canal</w:t>
      </w:r>
    </w:p>
    <w:p>
      <w:r>
        <w:rPr>
          <w:rFonts w:ascii="Arial" w:hAnsi="Arial"/>
          <w:b/>
          <w:color w:val="1A5C2A"/>
          <w:sz w:val="18"/>
        </w:rPr>
        <w:t>Estado: DELIVERED</w:t>
      </w:r>
    </w:p>
    <w:p>
      <w:r>
        <w:rPr>
          <w:rFonts w:ascii="Arial" w:hAnsi="Arial"/>
          <w:i w:val="0"/>
          <w:color w:val="333333"/>
          <w:sz w:val="20"/>
        </w:rPr>
        <w:t>—</w:t>
      </w:r>
    </w:p>
    <w:p>
      <w:r>
        <w:rPr>
          <w:rFonts w:ascii="Arial" w:hAnsi="Arial"/>
          <w:b/>
          <w:color w:val="45699E"/>
          <w:sz w:val="20"/>
        </w:rPr>
        <w:t>Reglas de negocio aplicables: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[RN-F004-06] Los eventos ACCOUNT_LOCKED y LOGIN_NEW_CONTEXT_DETECTED no pueden desactivarse</w:t>
      </w:r>
    </w:p>
    <w:p>
      <w:pPr>
        <w:pStyle w:val="ListBullet"/>
        <w:ind w:left="283"/>
      </w:pPr>
      <w:r>
        <w:rPr>
          <w:rFonts w:ascii="Arial" w:hAnsi="Arial"/>
          <w:color w:val="333333"/>
          <w:sz w:val="18"/>
        </w:rPr>
        <w:t>[RN-F004-07] La configuración de canales es independiente por tipo de evento (email/push/in-app)</w:t>
      </w:r>
    </w:p>
    <w:p>
      <w:r>
        <w:br w:type="page"/>
      </w:r>
    </w:p>
    <w:p>
      <w:bookmarkStart w:id="33" w:name="sec5"/>
      <w:pPr>
        <w:pStyle w:val="Heading1"/>
      </w:pPr>
      <w:r>
        <w:rPr>
          <w:rFonts w:ascii="Arial" w:hAnsi="Arial"/>
          <w:color w:val="1B3A6B"/>
          <w:sz w:val="28"/>
        </w:rPr>
        <w:t>5. REGLAS DE NEGOCIO CONSOLIDADAS</w:t>
      </w:r>
      <w:bookmarkEnd w:id="33"/>
    </w:p>
    <w:p>
      <w:r>
        <w:rPr>
          <w:rFonts w:ascii="Arial" w:hAnsi="Arial"/>
          <w:i w:val="0"/>
          <w:color w:val="333333"/>
          <w:sz w:val="20"/>
        </w:rPr>
        <w:t>Catálogo consolidado de 198 reglas de negocio agrupadas por módulo.</w:t>
      </w:r>
    </w:p>
    <w:p>
      <w:pPr>
        <w:pStyle w:val="Heading2"/>
      </w:pPr>
      <w:r>
        <w:rPr>
          <w:rFonts w:ascii="Arial" w:hAnsi="Arial"/>
          <w:color w:val="45699E"/>
          <w:sz w:val="24"/>
        </w:rPr>
        <w:t xml:space="preserve">  ACCOUNT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saldo disponible y el saldo retenido se muestran siempre separados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IBAN se muestra en formato estándar europeo (ES + 22 dígitos)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movimientos negativos son cargos; los positivos son abonos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disponible cubre al menos los últimos 13 meses (normativa EU)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búsqueda por concepto opera sobre los últimos 13 meses de movimientos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RN-F007-06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categorización es automática; el cliente puede corregirla manualmente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ADMIN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usuarios con rol ADMIN pueden acceder al endpoint GET /api/v1/admin/gdpr-requests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SLA de respuesta a solicitudes GDPR es 30 dias desde la solicitud (GDPR Art.12§3)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sla_deadline - NOW() &lt; 5 dias y estado != COMPLETED: alerta push a usuarios ADMIN + sla_alert_sent = true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Retencion obligatoria del log gdpr_requests: 6 años (GDPR Art.17§3.b + Ley Contabilidad)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log gdpr_requests es append-only — no se permiten UPDATE ni DELETE de registros historicos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AUDIT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audit_log es inmutable: no se permiten UPDATE ni DELETE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registros incluyen siempre IP, user-agent, timestamp UTC y resultado (SUCCESS/FAILURE/BLOCKED)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audit log de exportaciones es asíncrono — su fallo no interrumpe la exportación (fire-and-forget x3)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Retención obligatoria del audit log de exportaciones: 7 años (GDPR Art.17 §3.b y PCI-DSS Req.10.7)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usuarios con rol ADMIN pueden consultar el audit log completo de exportaciones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hash SHA-256 del PDF generado se almacena en el audit log para verificación posterior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AUTHENTICATION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secreto TOTP se almacena siempre cifrado (AES-256-CBC); nunca en claro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OTP es válido durante 30 segundos; se admite un margen de ±1 período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códigos de recuperación se almacenan hasheados con BCrypt (cost=10); nunca en claro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RN-F001-04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Cada código de recuperación solo puede usarse una única vez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canal SSE se cierra automáticamente si la sesión expira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sistema soporta máximo 500 conexiones SSE simultáneas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subred se considera conocida solo tras ser confirmada explícitamente por el cliente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RN-F005-04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logins desde subredes desconocidas siempre generan notificación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contador de intentos fallidos se resetea al hacer login exitoso o al desbloquear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cuenta bloqueada no puede acceder a ningún servicio de BankPortal hasta ser desbloqueada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desbloqueo por email es de único uso y expira en 1 hora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desbloqueo por email no requiere que el cliente recuerde su contraseña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RN-F006-05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alertas de acceso desde ubicación inusual no pueden desactivarse por preferencias del cliente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BILL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recibos se muestran ordenados por fecha de vencimiento (más próximos primero)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recibo en estado CANCELLED no puede volver a pagarse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pago de un recibo requiere saldo disponible suficiente en la cuenta origen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elegir la cuenta cargo entre sus cuentas activas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RN-F009-05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número de referencia del pago ad-hoc se comunica al emisor para conciliación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CARDS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solo visualiza tarjetas vinculadas a su identidad verificada en Core Banking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número de tarjeta se muestra enmascarado (últimos 4 dígitos visibles)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bloqueo de tarjeta es inmediato en todos los canales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desbloqueo requiere 2FA si han transcurrido más de 60 minutos desde el bloqueo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RN-016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tarjeta bloqueada por el banco no puede ser desbloqueada por el cliente desde la app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RN-017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PIN requiere 2FA obligatorio y no puede coincidir con los últimos 3 PINs usados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RN-018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PIN no se almacena en BankPortal; se transmite cifrado directamente al Core Banking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RN-019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límites de tarjeta están acotados por los máximos del contrato con el banco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RN-020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límites tiene efecto en el siguiente día hábil bancario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tarjeta se disparan también para cargos rechazados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de transacciones cubre los últimos 13 meses (normativa EU)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RN-023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transacciones en divisa extranjera muestran importe original y tipo de cambio aplicado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DASHBOARD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gastos categorizados se calculan de forma asíncrona con un desfase máximo de 5 minutos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movimientos sin categoría aparecen en la categoría 'Otros'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comparativa mensual cubre los últimos 12 períodos completos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presupuesto mensual es establecido por el cliente; no tiene valor predeterminado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RN-F010-05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se genera una alerta de presupuesto por período y umbral (sin repeticiones)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PDF de extracto incluye siempre los datos del titular y el período exacto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extracto PDF puede cubrir hasta 13 meses (normativa EU)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fichero Excel incluye hoja de movimientos detallados y hoja resumen por categoría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importes en Excel usan formato numérico (no texto) para permitir cálculos directos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RN-F011-05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informe analítico solo exporta períodos completos (no el mes en curso parcial)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DIRECTDEBIT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creación de mandato SEPA requiere autenticación fuerte OTP (SCA PSD2 Art.97)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IBAN del acreedor debe cumplir ISO 13616 y pertenecer a un país SEPA (34 países)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pueden existir dos mandatos ACTIVE con el mismo acreedor e IBAN para el mismo cliente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solo puede consultar sus propios mandatos y recibos (aislamiento estricto por usuario)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recibos se muestran en orden cronológico descendente, paginados con máximo 50 registros por página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cancelación de mandato requiere OTP 2FA (operación de alto impacto)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se puede cancelar si existe recibo PENDING con due_date &lt;= hoy + 2 días hábiles (PSD2 Art.80 D-2)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exportación del extracto de domiciliaciones cubre el historial completo del mandato seleccionado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RN-DEBT035-01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Al recibir estado RETURNED del CoreBanking el mandato se actualiza con R-code y motivo SEPA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RN-DEBT035-02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 envía notificación push al titular con descripción legible del R-code (ej: R01='Fondos insuficientes')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RN-DEBT035-03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evento RETURNED queda registrado en el audit trail con timestamp, mandato_id y R-code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EXPORT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rango máximo de historial exportable es 12 meses desde la fecha de solicitud (PSD2 Art.47 §2)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PAN de tarjeta debe aparecer enmascarado — solo últimos 4 dígitos visibles (PCI-DSS Req.3.4)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PDF incluye hash SHA-256 del contenido como garantía de integridad y no repudio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Máximo 500 registros por exportación; si se supera, el sistema informa y solicita reducir el rango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CSV usa UTF-8 BOM para compatibilidad con Excel en español (evita problemas con caracteres acentuados)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separador de campos CSV es ';' (estándar europeo) y el separador decimal es ','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PAN no se incluye en ninguna columna del CSV; las tarjetas se referencian por alias o últimos 4 dígitos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primera fila del CSV contiene los nombres de columna en español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fecha mínima seleccionable para exportación es 12 meses atrás desde la fecha actual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el preview count supera 500 registros el sistema muestra aviso y bloquea la exportación hasta reducir el rango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RN-F018-11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filtros aplicados se registran en el export_audit_log para trazabilidad GDPR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GENERAL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Listado devuelve solo préstamos del usuario autenticado — nunca de otros usuarios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Estados válidos de préstamo: ACTIVE, PENDING, APPROVED, REJECTED, PAID_OFF, CANCELLED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Detalle incluye: capital original, saldo pendiente, TAE, cuota mensual, cuotas pagadas/pendientes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Simulación es stateless — no persiste ningún dato en base de datos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Importe válido para simulación y solicitud: 1.000 – 60.000 EUR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Plazo válido para simulación y solicitud: 12 – 84 meses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TAE calculada según fórmula Directiva 2008/48/CE (crédito al consumo europeo)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Cálculo cuota: método francés, BigDecimal escala 10, RoundingMode.HALF_EVEN (ADR-034)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de préstamo requiere validación OTP 2FA previa (patrón LA-DEBT-041)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Pre-scoring mock: hash(userId) % 1000 → score &gt; 600 = PENDING; ≤ 600 = REJECTED (RSK-022-01)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duplicada con estado PENDING activo → HTTP 409 Conflict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Campos obligatorios en solicitud: importe, plazo, finalidad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Finalidades válidas: CONSUMO, VEHICULO, REFORMA, OTROS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Audit log obligatorio para toda solicitud de préstamo (creación, cambio estado, cancelación)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se puede cancelar solicitud en estado APPROVED o PAID_OFF — HTTP 422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el propietario (mismo userId) puede cancelar su propia solicitud — HTTP 403 si otro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Cuadro de amortización generado dinámicamente desde parámetros del préstamo — no persistido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Cumplimiento Ley 16/2011: información precontractual obligatoria en simulación y solicitud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RN-F020-19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GET /api/v1/profile/notifications → HTTP 200 con [] si sin datos — nunca 404 (DEBT-043)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RN-F020-20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GET /api/v1/profile/sessions → HTTP 200 con [] si sin datos — nunca 404 (DEBT-043)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RN-F020-21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ExportAuditService debe registrar IBAN real resuelto desde AccountRepository (DEBT-036, LA-020-03)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RN-F020-22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Regex PAN Maestro acepta 12–19 dígitos — CVSS 2.1 corregido (DEBT-037)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Importe mínimo de depósito: 1.000€. Por debajo → 400 AMOUNT_TOO_LOW.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Plazo del depósito: mínimo 1 mes, máximo 60 meses. Fuera de rango → 400.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TIN y TAE configurables en application.properties por perfil de entorno. Sin hardcode en código fuente (DEBT-044).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Retención IRPF en origen por tramos (Art.25 Ley 35/2006): 19% hasta 6.000€ / 21% entre 6.001€ y 50.000€ / 23% superior a 50.000€.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Badge FGD informativo si importe del depósito ≤ 100.000€ (RDL 16/2011). Cobertura por titular y entidad.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Todos los cálculos monetarios (intereses, IRPF, penalización) usan BigDecimal con redondeo HALF_EVEN (coherente con ADR-034).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Instrucción de renovación por defecto: RENEW_MANUAL. El cliente debe instruir explícitamente si desea renovación automática.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OTP 2FA obligatorio para apertura y cancelación anticipada de depósito (PSD2 SCA). Sin OTP → 400 OTP_REQUIRED. OTP inválido → 401 OTP_INVALID.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RN-F021-09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Penalización por cancelación anticipada = porcentaje configurable (application.properties) × intereses devengados hasta la fecha de cancelación.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RN-F021-10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Aislamiento total entre clientes: un cliente no puede consultar, modificar ni cancelar depósitos de otro. Violación → 403 ACCESS_DENIED.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KYC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acceso a transferencias y servicios de pago requiere KYC aprobado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proceso KYC puede interrumpirse y retomarse antes de enviar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documentos se almacenan cifrados (AES-256); nunca en claro en base de datos (ADR-023)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 verifica el hash SHA-256 del documento al subir para detectar ficheros corruptos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Tipos de documento aceptados: DNI, NIE, Pasaporte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rechazo KYC debe incluir siempre un motivo que se comunica al cliente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RN-F013-07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KYC aprobado no caduca mientras los documentos de identidad estén vigentes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NOTIFICATION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seguridad se retienen durante 90 días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severidad ALTA (login sospechoso, bloqueo) no pueden desactivarse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Marcar una notificación como leída NO elimina el registro del audit_log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badge de notificaciones no leídas se actualiza en tiempo real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acciones directas desde notificación requieren sesión activa del cliente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eventos ACCOUNT_LOCKED y LOGIN_NEW_CONTEXT_DETECTED no pueden desactivarse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RN-F004-07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configuración de canales es independiente por tipo de evento (email/push/in-app)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NOTIFICATIONS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dispositivos con token VAPID registrado activo reciben notificaciones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cliente puede registrar hasta 5 dispositivos simultáneamente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registro VAPID expira a los 12 meses sin actividad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de movimientos se envían en tiempo real, máximo 30 segundos tras el evento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movimientos por importe inferior al umbral configurado no generan notificación por defecto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RN-006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desactivar categorías individualmente; la categoría Seguridad siempre permanece activa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RN-F017-08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notificaciones push de domiciliación son opcionales si el cliente no tiene token de dispositivo registrado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RN-F017-09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tiempo máximo entre el evento de domiciliación y la notificación push es de 30 segundos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PRIVACY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consentimiento de tipo SECURITY no puede desactivarse — HTTP 422 con mensaje explicativo (hereda RN-F004-06)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Cada cambio de consentimiento genera registro inmutable en consent_history: userId, tipo, valor_anterior, valor_nuevo, timestamp, IP_origen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consentimientos de COMMUNICATIONS se sincronizan con preferencias de notificacion (FEAT-014) transaccionalmente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consent_history es solo lectura para el usuario — no se puede modificar ni eliminar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Solo puede haber un data-export activo (PENDING o IN_PROGRESS) por usuario simultaneamente — HTTP 409 si se solicita otro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generacion del data-export es asincrona (@Async) — SLA maximo 24 horas desde la solicitud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JSON del data-export lleva firma SHA-256 del contenido para garantia de integridad (hereda patron FEAT-018)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Se envia notificacion push al usuario cuando el data-export esta disponible para descarga (reutiliza NotificationService FEAT-014)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enlace de descarga del data-export expira en 48 horas — HTTP 410 Gone pasado ese tiempo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solicitud de data-export queda registrada en gdpr_requests con estado PENDING y sla_deadline = createdAt + 30 dias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solicitud de eliminacion requiere OTP 2FA valido — SCA aplicado por seguridad aunque GDPR no lo exige expresamente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enlace de email de confirmacion de eliminacion es de un solo uso con TTL 24 horas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Tras confirmacion email la cuenta queda SUSPENDED inmediatamente — no puede operar en BankPortal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RN-F019-28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Borrado logico: nombre → USUARIO ELIMINADO, apellidos → string vacio, email → hash SHA-256 irreversible, telefono → null, direccion → null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RN-F019-29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registros de audit_log y gdpr_requests se conservan integros tras borrado logico — excepcion legal GDPR Art.17§3.b (6 años)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RN-F019-30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 a CoreBanking via webhook POST /corebankng/api/account-deletion — fire-and-forget: si falla se registra DEBT-040, el proceso no se bloquea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SLA GDPR Art.12§3: ejecucion completa del borrado logico en 30 dias desde confirmacion del usuario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RN-F019-32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usuario recibe email de confirmacion de inicio del borrado y email de confirmacion de borrado completado (dia 30)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PROFILE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email del cliente no puede modificarse desde BankPortal; requiere trámite presencial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teléfono móvil debe verificarse antes de usarse para 2FA por SMS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nueva contraseña no puede coincidir con ninguna de las 3 anteriores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contraseña revoca automáticamente todas las sesiones activas excepto la actual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preferencias de comunicación se aplican a todos los módulos de BankPortal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Desactivar el canal push no cancela la suscripción VAPID; solo deja de recibir notificaciones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RN-F012-07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JWTs revocados se verifican en tiempo O(1) mediante Redis blacklist; la BD es audit trail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email es solo lectura — no puede modificarse desde la app (requiere tramite presencial en oficina)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telefono se muestra parcialmente enmascarado en la consulta (primeros digitos ocultos)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kycStatus = PENDING, todos los campos del perfil son solo lectura — HTTP 423 si intenta editar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Tiempo de respuesta GET /api/v1/profile &lt; 1 segundo bajo carga normal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RN-F019-05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cambio de telefono movil requiere verificacion OTP enviado al numero actual — SCA PSD2 Art.97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RN-F019-06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email NO es campo modificable bajo ninguna circunstancia desde la API — campo ignorado en PATCH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RN-F019-07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Validacion cruzada con KYC: si kycStatus = PENDING la actualizacion de perfil devuelve HTTP 423 Locked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RN-F019-08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Todos los cambios de perfil se registran en audit_log con timestamp, IP y valores anterior/nuevo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RN-F019-09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Nombre y apellidos no pueden quedar vacios — longitud minima 2 caracteres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RN-F019-10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sesion actual (isCurrent=true) no puede cerrarse remotamente — HTTP 409 Conflict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RN-F019-11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cierre remoto de sesion invalida el JWT inmediatamente via Redis blacklist usando TokenService (S20)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RN-F019-12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IP de sesion se muestra siempre enmascarada en el listado (hereda RN-F002-01)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RN-F019-13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Maximo 5 sesiones simultaneas por usuario (hereda RN-F003-04)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RN-F019-14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cierre remoto de sesion queda registrado en audit_log con sessionId, userId e IP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SCHEDULED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transferencia programada puede cancelarse hasta el día anterior a la ejecución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Sin fondos suficientes en la fecha de ejecución, la transferencia se marca FAILED y se notifica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Una transferencia recurrente puede pausarse temporalmente y reanudarse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cancelación de una recurrente no afecta a las ejecuciones ya completadas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recurrentes mensuales en días inexistentes se ejecutan el último día hábil del mes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 se puede editar el IBAN destino de una recurrente activa; hay que cancelar y crear nueva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RN-F015-07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historial de ejecuciones de transferencias programadas es inmutable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SESSION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direcciones IP se muestran enmascaradas en la consulta de sesiones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sesión nunca se almacena en claro; solo su hash SHA-256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cierre remoto de sesión es irreversible e inmediato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cerrar todas las sesiones excepto la propia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enlace de denegación de sesión es de un solo uso con TTL de 1 hora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RN-F002-06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timeout de sesión por inactividad es configurable entre 5 y 60 minutos (máx. PCI-DSS)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TRANSFER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importe se opera siempre en precisión DECIMAL(15,2); nunca con punto flotante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Las transferencias que superan el límite por operación requieren 2FA (SCA)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Límite por operación: 2.000€; límite diario: 3.000€; límite mensual: 10.000€ (configurables por el banco)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cliente no puede tener dos beneficiarios activos con el mismo IBAN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La baja de un beneficiario es soft delete; el historial de transferencias se conserva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Los límites de transferencia son establecidos por el banco; el cliente no puede modificarlos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RN-F008-07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acumulado diario se calcula en UTC y se resetea a medianoche</w:t>
            </w:r>
          </w:p>
        </w:tc>
      </w:tr>
    </w:tbl>
    <w:p/>
    <w:p>
      <w:pPr>
        <w:pStyle w:val="Heading2"/>
      </w:pPr>
      <w:r>
        <w:rPr>
          <w:rFonts w:ascii="Arial" w:hAnsi="Arial"/>
          <w:color w:val="45699E"/>
          <w:sz w:val="24"/>
        </w:rPr>
        <w:t xml:space="preserve">  TRUSTEDDEVICE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720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Regla de Negocio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RN-F003-01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confianza se almacena como cookie HttpOnly; nunca en localStorage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RN-F003-02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token de confianza expira a los 30 días; se renueva en cada uso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RN-F003-03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 el dispositivo cambia de red sustancialmente se requiere re-verificación con OTP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RN-F003-04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usuario puede tener máximo 5 dispositivos de confianza activos simultáneamente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RN-F003-05</w:t>
            </w:r>
          </w:p>
        </w:tc>
        <w:tc>
          <w:tcPr>
            <w:tcW w:type="dxa" w:w="720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Un dispositivo revocado debe completar OTP en el siguiente login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RN-F003-06</w:t>
            </w:r>
          </w:p>
        </w:tc>
        <w:tc>
          <w:tcPr>
            <w:tcW w:type="dxa" w:w="720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El cliente puede revocar todos sus dispositivos de confianza con una única acción</w:t>
            </w:r>
          </w:p>
        </w:tc>
      </w:tr>
    </w:tbl>
    <w:p/>
    <w:p>
      <w:r>
        <w:br w:type="page"/>
      </w:r>
    </w:p>
    <w:p>
      <w:bookmarkStart w:id="34" w:name="sec6"/>
      <w:pPr>
        <w:pStyle w:val="Heading1"/>
      </w:pPr>
      <w:r>
        <w:rPr>
          <w:rFonts w:ascii="Arial" w:hAnsi="Arial"/>
          <w:color w:val="1B3A6B"/>
          <w:sz w:val="28"/>
        </w:rPr>
        <w:t>6. GLOSARIO DEL DOMINIO</w:t>
      </w:r>
      <w:bookmarkEnd w:id="34"/>
    </w:p>
    <w:p>
      <w:r>
        <w:rPr>
          <w:rFonts w:ascii="Arial" w:hAnsi="Arial"/>
          <w:i w:val="0"/>
          <w:color w:val="333333"/>
          <w:sz w:val="20"/>
        </w:rPr>
        <w:t>Glosario acumulativo de términos de negocio y técnicos. Se amplía cada sprint.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4536"/>
        <w:gridCol w:w="4536"/>
      </w:tblGrid>
      <w:tr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63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SOFIA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Software Factory IA de Experis — orquesta agentes especializados via MCP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CMMI L3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Capability Maturity Model Integration Nivel 3 — procesos definidos y gestionados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Scrumban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Metodología híbrida Scrum + Kanban — sprints de 2 semanas con WIP limits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Gate HITL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Human-In-The-Loop gate — punto de aprobación explícita por rol definido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Functional Analysis — análisis funcional en lenguaje de negocio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RN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Regla de Negocio — restricción o comportamiento obligatorio del sistema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User Story — historia de usuario en formato Agile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Story Points — unidad relativa de estimación de esfuerzo</w:t>
            </w:r>
          </w:p>
        </w:tc>
      </w:tr>
      <w:tr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API REST</w:t>
            </w:r>
          </w:p>
        </w:tc>
        <w:tc>
          <w:tcPr>
            <w:tcW w:type="dxa" w:w="63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Interfaz basada en HTTP con recursos y verbos estándar</w:t>
            </w:r>
          </w:p>
        </w:tc>
      </w:tr>
      <w:tr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JWT</w:t>
            </w:r>
          </w:p>
        </w:tc>
        <w:tc>
          <w:tcPr>
            <w:tcW w:type="dxa" w:w="63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JSON Web Token — token de autenticación sin estado, firmado criptográficamente</w:t>
            </w:r>
          </w:p>
        </w:tc>
      </w:tr>
    </w:tbl>
    <w:p>
      <w:r>
        <w:br w:type="page"/>
      </w:r>
    </w:p>
    <w:p>
      <w:bookmarkStart w:id="35" w:name="sec7"/>
      <w:pPr>
        <w:pStyle w:val="Heading1"/>
      </w:pPr>
      <w:r>
        <w:rPr>
          <w:rFonts w:ascii="Arial" w:hAnsi="Arial"/>
          <w:color w:val="1B3A6B"/>
          <w:sz w:val="28"/>
        </w:rPr>
        <w:t>7. MATRIZ DE COBERTURA FUNCIONAL</w:t>
      </w:r>
      <w:bookmarkEnd w:id="35"/>
    </w:p>
    <w:p>
      <w:r>
        <w:rPr>
          <w:rFonts w:ascii="Arial" w:hAnsi="Arial"/>
          <w:i w:val="0"/>
          <w:color w:val="333333"/>
          <w:sz w:val="20"/>
        </w:rPr>
        <w:t>Trazabilidad completa de las 86 funcionalidades.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1296"/>
        <w:gridCol w:w="1296"/>
        <w:gridCol w:w="1296"/>
        <w:gridCol w:w="1296"/>
        <w:gridCol w:w="1296"/>
        <w:gridCol w:w="1296"/>
        <w:gridCol w:w="1296"/>
      </w:tblGrid>
      <w:tr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ID</w:t>
            </w:r>
          </w:p>
        </w:tc>
        <w:tc>
          <w:tcPr>
            <w:tcW w:type="dxa" w:w="1417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2551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Funcionalidad</w:t>
            </w:r>
          </w:p>
        </w:tc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Estado</w:t>
            </w:r>
          </w:p>
        </w:tc>
        <w:tc>
          <w:tcPr>
            <w:tcW w:type="dxa" w:w="1247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Evidencia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FA-001-A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Registro y Activación del Segundo Factor TOTP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FA-001-B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Códigos de Recuperación 2FA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FA-001-C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Registro de Auditoría Inmutable de Autenticación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S1-2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FA-002-A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Sesiones Activas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FA-002-B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Cierre Remoto de Sesión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FA-002-C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Invalidación de Sesión por Enlace de Email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FA-003-A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Registro de Dispositivo de Confianza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FA-003-B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Login sin OTP desde Dispositivo de Confianza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FA-003-C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Revocación de Dispositivos de Confianza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de Notificaciones de Seguridad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Notificaciones (Leídas/No Leídas)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Acciones Directas desde Notificación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FA-004-D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FEAT-004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Preferencias de Notificación por Canal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S5+8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v1.8.0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FA-005-A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FEAT-005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Notificaciones de Seguridad en Tiempo Real (SSE)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S6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v1.6.0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FA-005-B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FEAT-005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Detección de Login desde Contexto Inusual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S6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v1.6.0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FA-006-A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Bloqueo Automático de Cuenta por Intentos Fallidos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FA-006-B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Desbloqueo de Cuenta por Email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FA-006-C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FEAT-006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Autenticación Contextual por Subred IP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S7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v1.7.0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Cuentas y Saldos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de Movimientos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Búsqueda por Concepto de Movimiento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FA-007-D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FEAT-007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Categorización Automática de Gastos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S9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v1.9.0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FA-008-A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Transferencia Bancaria Inmediata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FA-008-B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Libreta de Beneficiarios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FA-008-C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FEAT-008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Límites de Transferencia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v1.10.0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FA-009-A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Recibos Pendientes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FA-009-B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Pago de Recibo Domiciliado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FA-009-C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FEAT-009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Pago Ad-hoc por Referencia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S11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v1.11.0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FA-010-A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Resumen de Gastos por Categoría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FA-010-B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Evolución Mensual de Gastos e Ingresos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FA-010-C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Alertas de Presupuesto Mensual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FA-011-A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Exportación de Movimientos a PDF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FA-011-B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Exportación de Movimientos a Excel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FA-011-C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Exportación del Informe Analítico de Gastos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y Actualización de Datos Personales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Cambio de Contraseña con Historial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Preferencias de Comunicación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FA-012-D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FEAT-012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Revocación de Tokens JWT Activos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S14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v1.14.0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FA-013-A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Inicio del Proceso KYC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FA-013-B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Carga de Documentos de Identidad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FA-013-C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FEAT-013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Revisión y Resolución KYC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S15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v1.15.0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RECONSTRUIDO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FA-014-001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Suscripción a Notificaciones Push VAPID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FA-014-002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Envío de Notificaciones de Movimientos en Tiempo R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FA-014-003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FEAT-014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Preferencias de Notificación Multicanal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S16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v1.16.0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FA-015-A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Programación de Transferencia Única (ONCE)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FA-015-B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Transferencias Recurrentes (WEEKLY/BIWEEKLY/MONTHL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FA-015-C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y Gestión de Transferencias Programadas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S17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v1.17.0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FA-016-007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Tarjetas del Cliente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FA-016-008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Bloqueo y Desbloqueo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FA-016-009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Cambio de PIN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FA-016-010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Gestión de Límites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FA-016-011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Notificaciones Push de Operaciones con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FA-016-012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FEAT-016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Historial de Transacciones de Tarjeta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S18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v1.18.0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EVIDENCIA-DIRECTA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Alta de Mandato SEPA Direct Debit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y Listado de Mandatos SEPA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Cancelacion de Mandato SEPA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 Push Domiciliacion Procesada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FA-017-E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FEAT-017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Exportacion Extracto Domiciliaciones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S19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v1.19.0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SPRINT-19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Generacion de Extracto PDF de Movimientos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Generacion de Extracto CSV de Movimientos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Filtrado Multicriteria de Movimientos para Exporta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FA-018-D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FEAT-018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Audit Log de Exportaciones (GDPR + PCI-DSS)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FA-DEBT035-A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DEBT-035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Notificacion Push RETURNED CoreBanking (R-code SEP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v1.20.0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SPRINT-20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FA-019-A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Datos Personales desde Perfil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FA-019-B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Actualizacion de Datos Personales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FA-019-C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Gestion de Sesiones Activas y Cierre Remoto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FA-019-D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Gestion de Consentimientos GDPR con Historial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FA-019-E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Portabilidad de Datos — Descarga JSON Firmado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FA-019-F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Derecho al Olvido — Eliminacion de Cuenta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FA-019-G</w:t>
            </w:r>
          </w:p>
        </w:tc>
        <w:tc>
          <w:tcPr>
            <w:tcW w:type="dxa" w:w="141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FEAT-019</w:t>
            </w:r>
          </w:p>
        </w:tc>
        <w:tc>
          <w:tcPr>
            <w:tcW w:type="dxa" w:w="2551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Log de Derechos GDPR — Panel Administracion</w:t>
            </w:r>
          </w:p>
        </w:tc>
        <w:tc>
          <w:tcPr>
            <w:tcW w:type="dxa" w:w="850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S21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v1.21.0</w:t>
            </w:r>
          </w:p>
        </w:tc>
        <w:tc>
          <w:tcPr>
            <w:tcW w:type="dxa" w:w="1134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DELIVERED</w:t>
            </w:r>
          </w:p>
        </w:tc>
        <w:tc>
          <w:tcPr>
            <w:tcW w:type="dxa" w:w="1247"/>
            <w:shd w:val="clear" w:color="auto" w:fill="EFF6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SPRINT-21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Préstamos Activos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SCRUM-115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Simulador de Préstamo Personal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SCRUM-116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Solicitud de Préstamo con Pre-scoring y 2FA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SCRUM-117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Cuadro de Amortización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SCRUM-118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Cancelación de Solicitud de Préstamo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SCRUM-118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FA-020-F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Frontend Angular — Módulo Préstamos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SCRUM-119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FA-DEBT043-A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Endpoints Notificaciones y Sesiones en Perfil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SCRUM-120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FA-DEBT036-A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FEAT-020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IBAN en Audit Log y Validación PAN Maestro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v1.22.0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PLANNED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SCRUM-121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FA-021-A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Consulta de Depósitos Activos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US-F021-01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FA-021-B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Detalle de Depósito y Cuadro de Liquidación IRPF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US-F021-02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FA-021-C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Simulador de Depósito a Plazo Fijo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US-F021-03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FA-021-D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Apertura de Depósito con Confirmación 2FA (SCA)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US-F021-04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FA-021-E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Instrucción de Renovación al Vencimiento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US-F021-05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FA-021-F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Cancelación Anticipada de Depósito con Penalizació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US-F021-06</w:t>
            </w:r>
          </w:p>
        </w:tc>
      </w:tr>
      <w:tr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FA-021-G</w:t>
            </w:r>
          </w:p>
        </w:tc>
        <w:tc>
          <w:tcPr>
            <w:tcW w:type="dxa" w:w="141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FEAT-021</w:t>
            </w:r>
          </w:p>
        </w:tc>
        <w:tc>
          <w:tcPr>
            <w:tcW w:type="dxa" w:w="2551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Módulo Angular Depósitos — Frontend Portal</w:t>
            </w:r>
          </w:p>
        </w:tc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US-F021-01..06</w:t>
            </w:r>
          </w:p>
        </w:tc>
      </w:tr>
      <w:tr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FA-DEBT-023A</w:t>
            </w:r>
          </w:p>
        </w:tc>
        <w:tc>
          <w:tcPr>
            <w:tcW w:type="dxa" w:w="141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DEBT-036+037+044</w:t>
            </w:r>
          </w:p>
        </w:tc>
        <w:tc>
          <w:tcPr>
            <w:tcW w:type="dxa" w:w="2551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Cierre Deuda Técnica Sprint 23: IBAN Audit Log · R</w:t>
            </w:r>
          </w:p>
        </w:tc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S23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v1.23.0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ACTIVE</w:t>
            </w:r>
          </w:p>
        </w:tc>
        <w:tc>
          <w:tcPr>
            <w:tcW w:type="dxa" w:w="1247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 xml:space="preserve">DEBT-036 + DEBT-037 </w:t>
            </w:r>
          </w:p>
        </w:tc>
      </w:tr>
    </w:tbl>
    <w:p>
      <w:r>
        <w:br w:type="page"/>
      </w:r>
    </w:p>
    <w:p>
      <w:bookmarkStart w:id="36" w:name="sec8"/>
      <w:pPr>
        <w:pStyle w:val="Heading1"/>
      </w:pPr>
      <w:r>
        <w:rPr>
          <w:rFonts w:ascii="Arial" w:hAnsi="Arial"/>
          <w:color w:val="1B3A6B"/>
          <w:sz w:val="28"/>
        </w:rPr>
        <w:t>8. HISTORIAL DE CAMBIOS DEL DOCUMENTO</w:t>
      </w:r>
      <w:bookmarkEnd w:id="36"/>
    </w:p>
    <w:p>
      <w:r>
        <w:rPr>
          <w:rFonts w:ascii="Arial" w:hAnsi="Arial"/>
          <w:i w:val="0"/>
          <w:color w:val="333333"/>
          <w:sz w:val="20"/>
        </w:rPr>
        <w:t>Registro de versiones. El documento se actualiza incrementalmente en cada sprint.</w:t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850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113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1984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Sprint / Feature</w:t>
            </w:r>
          </w:p>
        </w:tc>
        <w:tc>
          <w:tcPr>
            <w:tcW w:type="dxa" w:w="4535"/>
            <w:shd w:val="clear" w:color="auto" w:fill="1B3A6B"/>
            <w:tcBorders>
              <w:top w:val="single" w:sz="4" w:color="45699E"/>
              <w:left w:val="single" w:sz="4" w:color="45699E"/>
              <w:bottom w:val="single" w:sz="4" w:color="45699E"/>
              <w:right w:val="single" w:sz="4" w:color="45699E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FFFFFF"/>
                <w:sz w:val="18"/>
              </w:rPr>
              <w:t>Descripción del cambio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0.1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2026-04-05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S1–S22 / FEAT-019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 gate-8b. 78 func, 188 RN. Indice clickable v2.6. SOFIA v2.7.</w:t>
            </w:r>
          </w:p>
        </w:tc>
      </w:tr>
      <w:tr>
        <w:tc>
          <w:tcPr>
            <w:tcW w:type="dxa" w:w="850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0.2</w:t>
            </w:r>
          </w:p>
        </w:tc>
        <w:tc>
          <w:tcPr>
            <w:tcW w:type="dxa" w:w="113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2026-04-06</w:t>
            </w:r>
          </w:p>
        </w:tc>
        <w:tc>
          <w:tcPr>
            <w:tcW w:type="dxa" w:w="1984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S1–S23 / FEAT-021</w:t>
            </w:r>
          </w:p>
        </w:tc>
        <w:tc>
          <w:tcPr>
            <w:tcW w:type="dxa" w:w="4535"/>
            <w:shd w:val="clear" w:color="auto" w:fill="F5F7FA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 gate-8b. 86 func, 198 RN. Indice clickable v2.6. SOFIA v2.7.</w:t>
            </w:r>
          </w:p>
        </w:tc>
      </w:tr>
      <w:tr>
        <w:tc>
          <w:tcPr>
            <w:tcW w:type="dxa" w:w="850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0.3</w:t>
            </w:r>
          </w:p>
        </w:tc>
        <w:tc>
          <w:tcPr>
            <w:tcW w:type="dxa" w:w="113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2026-04-09</w:t>
            </w:r>
          </w:p>
        </w:tc>
        <w:tc>
          <w:tcPr>
            <w:tcW w:type="dxa" w:w="1984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S1–S23 / FEAT-021</w:t>
            </w:r>
          </w:p>
        </w:tc>
        <w:tc>
          <w:tcPr>
            <w:tcW w:type="dxa" w:w="4535"/>
            <w:shd w:val="clear" w:color="auto" w:fill="FFFFFF"/>
            <w:tcBorders>
              <w:top w:val="single" w:sz="4" w:color="D9DDE8"/>
              <w:left w:val="single" w:sz="4" w:color="D9DDE8"/>
              <w:bottom w:val="single" w:sz="4" w:color="D9DDE8"/>
              <w:right w:val="single" w:sz="4" w:color="D9DDE8"/>
            </w:tcBorders>
          </w:tcPr>
          <w:p>
            <w:r>
              <w:rPr>
                <w:rFonts w:ascii="Arial" w:hAnsi="Arial"/>
                <w:color w:val="333333"/>
                <w:sz w:val="18"/>
              </w:rPr>
              <w:t>Actualización automática. 86 func, 198 RN. SOFIA v2.7.</w:t>
            </w:r>
          </w:p>
        </w:tc>
      </w:tr>
    </w:tbl>
    <w:p/>
    <w:p>
      <w:r>
        <w:rPr>
          <w:rFonts w:ascii="Arial" w:hAnsi="Arial"/>
          <w:color w:val="AAAAAA"/>
          <w:sz w:val="16"/>
        </w:rPr>
        <w:t>Documento generado por FA-Agent — SOFIA Software Factory v2.7 · bank-portal · Banco Meridian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Arial" w:hAnsi="Arial"/>
        <w:color w:val="AAAAAA"/>
        <w:sz w:val="16"/>
      </w:rPr>
      <w:t>SOFIA v2.7 · Confidencial · Experis · 2026-04-09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45699E"/>
        <w:sz w:val="16"/>
      </w:rPr>
      <w:t>Análisis Funcional — bank-portal · Banco Meridian · v0.3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