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B3A6B"/>
          <w:sz w:val="56"/>
        </w:rPr>
        <w:t>ANÁLISIS FUNCIONAL</w:t>
      </w:r>
    </w:p>
    <w:p>
      <w:pPr>
        <w:jc w:val="center"/>
      </w:pPr>
      <w:r>
        <w:rPr>
          <w:rFonts w:ascii="Arial" w:hAnsi="Arial"/>
          <w:b/>
          <w:color w:val="C84A14"/>
          <w:sz w:val="40"/>
        </w:rPr>
        <w:t>bank-portal — Banco Meridian</w:t>
      </w:r>
    </w:p>
    <w:p/>
    <w:tbl>
      <w:tblPr>
        <w:tblW w:type="auto" w:w="0"/>
        <w:jc w:val="center"/>
        <w:tblLook w:firstColumn="1" w:firstRow="1" w:lastColumn="0" w:lastRow="0" w:noHBand="0" w:noVBand="1" w:val="04A0"/>
      </w:tblPr>
      <w:tblGrid>
        <w:gridCol w:w="4536"/>
        <w:gridCol w:w="4536"/>
      </w:tblGrid>
      <w:tr>
        <w:tc>
          <w:tcPr>
            <w:tcW w:type="dxa" w:w="2835"/>
            <w:shd w:val="clear" w:color="auto" w:fill="1B3A6B"/>
            <w:tcBorders>
              <w:top w:val="single" w:sz="4" w:color="45699E"/>
              <w:left w:val="single" w:sz="4" w:color="45699E"/>
              <w:bottom w:val="single" w:sz="4" w:color="45699E"/>
              <w:right w:val="single" w:sz="4" w:color="45699E"/>
            </w:tcBorders>
          </w:tcPr>
          <w:p>
            <w:r>
              <w:rPr>
                <w:rFonts w:ascii="Arial" w:hAnsi="Arial"/>
                <w:b/>
                <w:color w:val="FFFFFF"/>
                <w:sz w:val="20"/>
              </w:rPr>
              <w:t>Proyecto</w:t>
            </w:r>
          </w:p>
        </w:tc>
        <w:tc>
          <w:tcPr>
            <w:tcW w:type="dxa" w:w="5102"/>
            <w:shd w:val="clear" w:color="auto" w:fill="F5F7FA"/>
            <w:tcBorders>
              <w:top w:val="single" w:sz="4" w:color="D9DDE8"/>
              <w:left w:val="single" w:sz="4" w:color="D9DDE8"/>
              <w:bottom w:val="single" w:sz="4" w:color="D9DDE8"/>
              <w:right w:val="single" w:sz="4" w:color="D9DDE8"/>
            </w:tcBorders>
          </w:tcPr>
          <w:p>
            <w:r>
              <w:rPr>
                <w:rFonts w:ascii="Arial" w:hAnsi="Arial"/>
                <w:b/>
                <w:color w:val="1B3A6B"/>
                <w:sz w:val="20"/>
              </w:rPr>
              <w:t>bank-portal · Banco Meridian</w:t>
            </w:r>
          </w:p>
        </w:tc>
      </w:tr>
      <w:tr>
        <w:tc>
          <w:tcPr>
            <w:tcW w:type="dxa" w:w="2835"/>
            <w:shd w:val="clear" w:color="auto" w:fill="1B3A6B"/>
            <w:tcBorders>
              <w:top w:val="single" w:sz="4" w:color="45699E"/>
              <w:left w:val="single" w:sz="4" w:color="45699E"/>
              <w:bottom w:val="single" w:sz="4" w:color="45699E"/>
              <w:right w:val="single" w:sz="4" w:color="45699E"/>
            </w:tcBorders>
          </w:tcPr>
          <w:p>
            <w:r>
              <w:rPr>
                <w:rFonts w:ascii="Arial" w:hAnsi="Arial"/>
                <w:b/>
                <w:color w:val="FFFFFF"/>
                <w:sz w:val="20"/>
              </w:rPr>
              <w:t>Versión</w:t>
            </w:r>
          </w:p>
        </w:tc>
        <w:tc>
          <w:tcPr>
            <w:tcW w:type="dxa" w:w="5102"/>
            <w:shd w:val="clear" w:color="auto" w:fill="F5F7FA"/>
            <w:tcBorders>
              <w:top w:val="single" w:sz="4" w:color="D9DDE8"/>
              <w:left w:val="single" w:sz="4" w:color="D9DDE8"/>
              <w:bottom w:val="single" w:sz="4" w:color="D9DDE8"/>
              <w:right w:val="single" w:sz="4" w:color="D9DDE8"/>
            </w:tcBorders>
          </w:tcPr>
          <w:p>
            <w:r>
              <w:rPr>
                <w:rFonts w:ascii="Arial" w:hAnsi="Arial"/>
                <w:b/>
                <w:color w:val="1B3A6B"/>
                <w:sz w:val="20"/>
              </w:rPr>
              <w:t>v0.11</w:t>
            </w:r>
          </w:p>
        </w:tc>
      </w:tr>
      <w:tr>
        <w:tc>
          <w:tcPr>
            <w:tcW w:type="dxa" w:w="2835"/>
            <w:shd w:val="clear" w:color="auto" w:fill="1B3A6B"/>
            <w:tcBorders>
              <w:top w:val="single" w:sz="4" w:color="45699E"/>
              <w:left w:val="single" w:sz="4" w:color="45699E"/>
              <w:bottom w:val="single" w:sz="4" w:color="45699E"/>
              <w:right w:val="single" w:sz="4" w:color="45699E"/>
            </w:tcBorders>
          </w:tcPr>
          <w:p>
            <w:r>
              <w:rPr>
                <w:rFonts w:ascii="Arial" w:hAnsi="Arial"/>
                <w:b/>
                <w:color w:val="FFFFFF"/>
                <w:sz w:val="20"/>
              </w:rPr>
              <w:t>Fecha</w:t>
            </w:r>
          </w:p>
        </w:tc>
        <w:tc>
          <w:tcPr>
            <w:tcW w:type="dxa" w:w="5102"/>
            <w:shd w:val="clear" w:color="auto" w:fill="F5F7FA"/>
            <w:tcBorders>
              <w:top w:val="single" w:sz="4" w:color="D9DDE8"/>
              <w:left w:val="single" w:sz="4" w:color="D9DDE8"/>
              <w:bottom w:val="single" w:sz="4" w:color="D9DDE8"/>
              <w:right w:val="single" w:sz="4" w:color="D9DDE8"/>
            </w:tcBorders>
          </w:tcPr>
          <w:p>
            <w:r>
              <w:rPr>
                <w:rFonts w:ascii="Arial" w:hAnsi="Arial"/>
                <w:b/>
                <w:color w:val="1B3A6B"/>
                <w:sz w:val="20"/>
              </w:rPr>
              <w:t>2026-04-26</w:t>
            </w:r>
          </w:p>
        </w:tc>
      </w:tr>
      <w:tr>
        <w:tc>
          <w:tcPr>
            <w:tcW w:type="dxa" w:w="2835"/>
            <w:shd w:val="clear" w:color="auto" w:fill="1B3A6B"/>
            <w:tcBorders>
              <w:top w:val="single" w:sz="4" w:color="45699E"/>
              <w:left w:val="single" w:sz="4" w:color="45699E"/>
              <w:bottom w:val="single" w:sz="4" w:color="45699E"/>
              <w:right w:val="single" w:sz="4" w:color="45699E"/>
            </w:tcBorders>
          </w:tcPr>
          <w:p>
            <w:r>
              <w:rPr>
                <w:rFonts w:ascii="Arial" w:hAnsi="Arial"/>
                <w:b/>
                <w:color w:val="FFFFFF"/>
                <w:sz w:val="20"/>
              </w:rPr>
              <w:t>Sprints</w:t>
            </w:r>
          </w:p>
        </w:tc>
        <w:tc>
          <w:tcPr>
            <w:tcW w:type="dxa" w:w="5102"/>
            <w:shd w:val="clear" w:color="auto" w:fill="F5F7FA"/>
            <w:tcBorders>
              <w:top w:val="single" w:sz="4" w:color="D9DDE8"/>
              <w:left w:val="single" w:sz="4" w:color="D9DDE8"/>
              <w:bottom w:val="single" w:sz="4" w:color="D9DDE8"/>
              <w:right w:val="single" w:sz="4" w:color="D9DDE8"/>
            </w:tcBorders>
          </w:tcPr>
          <w:p>
            <w:r>
              <w:rPr>
                <w:rFonts w:ascii="Arial" w:hAnsi="Arial"/>
                <w:b/>
                <w:color w:val="1B3A6B"/>
                <w:sz w:val="20"/>
              </w:rPr>
              <w:t>S1–S26 consolidados</w:t>
            </w:r>
          </w:p>
        </w:tc>
      </w:tr>
      <w:tr>
        <w:tc>
          <w:tcPr>
            <w:tcW w:type="dxa" w:w="2835"/>
            <w:shd w:val="clear" w:color="auto" w:fill="1B3A6B"/>
            <w:tcBorders>
              <w:top w:val="single" w:sz="4" w:color="45699E"/>
              <w:left w:val="single" w:sz="4" w:color="45699E"/>
              <w:bottom w:val="single" w:sz="4" w:color="45699E"/>
              <w:right w:val="single" w:sz="4" w:color="45699E"/>
            </w:tcBorders>
          </w:tcPr>
          <w:p>
            <w:r>
              <w:rPr>
                <w:rFonts w:ascii="Arial" w:hAnsi="Arial"/>
                <w:b/>
                <w:color w:val="FFFFFF"/>
                <w:sz w:val="20"/>
              </w:rPr>
              <w:t>Funcionalidades</w:t>
            </w:r>
          </w:p>
        </w:tc>
        <w:tc>
          <w:tcPr>
            <w:tcW w:type="dxa" w:w="5102"/>
            <w:shd w:val="clear" w:color="auto" w:fill="F5F7FA"/>
            <w:tcBorders>
              <w:top w:val="single" w:sz="4" w:color="D9DDE8"/>
              <w:left w:val="single" w:sz="4" w:color="D9DDE8"/>
              <w:bottom w:val="single" w:sz="4" w:color="D9DDE8"/>
              <w:right w:val="single" w:sz="4" w:color="D9DDE8"/>
            </w:tcBorders>
          </w:tcPr>
          <w:p>
            <w:r>
              <w:rPr>
                <w:rFonts w:ascii="Arial" w:hAnsi="Arial"/>
                <w:b/>
                <w:color w:val="1B3A6B"/>
                <w:sz w:val="20"/>
              </w:rPr>
              <w:t>108</w:t>
            </w:r>
          </w:p>
        </w:tc>
      </w:tr>
      <w:tr>
        <w:tc>
          <w:tcPr>
            <w:tcW w:type="dxa" w:w="2835"/>
            <w:shd w:val="clear" w:color="auto" w:fill="1B3A6B"/>
            <w:tcBorders>
              <w:top w:val="single" w:sz="4" w:color="45699E"/>
              <w:left w:val="single" w:sz="4" w:color="45699E"/>
              <w:bottom w:val="single" w:sz="4" w:color="45699E"/>
              <w:right w:val="single" w:sz="4" w:color="45699E"/>
            </w:tcBorders>
          </w:tcPr>
          <w:p>
            <w:r>
              <w:rPr>
                <w:rFonts w:ascii="Arial" w:hAnsi="Arial"/>
                <w:b/>
                <w:color w:val="FFFFFF"/>
                <w:sz w:val="20"/>
              </w:rPr>
              <w:t>Reglas de Negocio</w:t>
            </w:r>
          </w:p>
        </w:tc>
        <w:tc>
          <w:tcPr>
            <w:tcW w:type="dxa" w:w="5102"/>
            <w:shd w:val="clear" w:color="auto" w:fill="F5F7FA"/>
            <w:tcBorders>
              <w:top w:val="single" w:sz="4" w:color="D9DDE8"/>
              <w:left w:val="single" w:sz="4" w:color="D9DDE8"/>
              <w:bottom w:val="single" w:sz="4" w:color="D9DDE8"/>
              <w:right w:val="single" w:sz="4" w:color="D9DDE8"/>
            </w:tcBorders>
          </w:tcPr>
          <w:p>
            <w:r>
              <w:rPr>
                <w:rFonts w:ascii="Arial" w:hAnsi="Arial"/>
                <w:b/>
                <w:color w:val="1B3A6B"/>
                <w:sz w:val="20"/>
              </w:rPr>
              <w:t>246</w:t>
            </w:r>
          </w:p>
        </w:tc>
      </w:tr>
    </w:tbl>
    <w:p/>
    <w:p>
      <w:pPr>
        <w:jc w:val="center"/>
      </w:pPr>
      <w:r>
        <w:rPr>
          <w:rFonts w:ascii="Arial" w:hAnsi="Arial"/>
          <w:color w:val="AAAAAA"/>
          <w:sz w:val="16"/>
        </w:rPr>
        <w:t>Generado por FA-Agent · SOFIA v2.7 · 2026-04-26 19:01 UTC</w:t>
      </w:r>
    </w:p>
    <w:p>
      <w:r>
        <w:br w:type="page"/>
      </w:r>
    </w:p>
    <w:p>
      <w:bookmarkStart w:id="1" w:name="toc"/>
      <w:pPr>
        <w:pStyle w:val="Heading1"/>
      </w:pPr>
      <w:r>
        <w:rPr>
          <w:rFonts w:ascii="Arial" w:hAnsi="Arial"/>
          <w:color w:val="1B3A6B"/>
          <w:sz w:val="28"/>
        </w:rPr>
        <w:t>ÍNDICE DE CONTENIDOS</w:t>
      </w:r>
      <w:bookmarkEnd w:id="1"/>
    </w:p>
    <w:p/>
    <w:p>
      <w:r>
        <w:rPr>
          <w:rFonts w:ascii="Arial" w:hAnsi="Arial"/>
          <w:color w:val="45699E"/>
          <w:sz w:val="16"/>
        </w:rPr>
        <w:t>──────────────────────────────────────────────────────────────────────────</w:t>
      </w:r>
    </w:p>
    <w:p>
      <w:pPr>
        <w:spacing w:after="40" w:before="100"/>
        <w:ind w:left="113"/>
      </w:pPr>
      <w:hyperlink w:anchor="sec1" w:history="1">
        <w:r>
          <w:rPr>
            <w:rStyle w:val="Hyperlink"/>
            <w:rFonts w:ascii="Arial" w:hAnsi="Arial" w:cs="Arial"/>
            <w:sz w:val="20"/>
            <w:szCs w:val="20"/>
            <w:color w:val="1B3A6B"/>
            <w:u w:val="single"/>
            <w:b/>
            <w:bCs/>
          </w:rPr>
          <w:t xml:space="preserve">1.  RESUMEN EJECUTIVO</w:t>
        </w:r>
      </w:hyperlink>
    </w:p>
    <w:p>
      <w:pPr>
        <w:spacing w:after="40" w:before="100"/>
        <w:ind w:left="113"/>
      </w:pPr>
      <w:hyperlink w:anchor="sec2" w:history="1">
        <w:r>
          <w:rPr>
            <w:rStyle w:val="Hyperlink"/>
            <w:rFonts w:ascii="Arial" w:hAnsi="Arial" w:cs="Arial"/>
            <w:sz w:val="20"/>
            <w:szCs w:val="20"/>
            <w:color w:val="1B3A6B"/>
            <w:u w:val="single"/>
            <w:b/>
            <w:bCs/>
          </w:rPr>
          <w:t xml:space="preserve">2.  CONTEXTO DE NEGOCIO</w:t>
        </w:r>
      </w:hyperlink>
    </w:p>
    <w:p>
      <w:pPr>
        <w:spacing w:after="40" w:before="60"/>
        <w:ind w:left="680"/>
      </w:pPr>
      <w:hyperlink w:anchor="sec2_1" w:history="1">
        <w:r>
          <w:rPr>
            <w:rStyle w:val="Hyperlink"/>
            <w:rFonts w:ascii="Arial" w:hAnsi="Arial" w:cs="Arial"/>
            <w:sz w:val="18"/>
            <w:szCs w:val="18"/>
            <w:color w:val="45699E"/>
            <w:u w:val="single"/>
          </w:rPr>
          <w:t xml:space="preserve">2.1.  Descripción del proyecto</w:t>
        </w:r>
      </w:hyperlink>
    </w:p>
    <w:p>
      <w:pPr>
        <w:spacing w:after="40" w:before="60"/>
        <w:ind w:left="680"/>
      </w:pPr>
      <w:hyperlink w:anchor="sec2_2" w:history="1">
        <w:r>
          <w:rPr>
            <w:rStyle w:val="Hyperlink"/>
            <w:rFonts w:ascii="Arial" w:hAnsi="Arial" w:cs="Arial"/>
            <w:sz w:val="18"/>
            <w:szCs w:val="18"/>
            <w:color w:val="45699E"/>
            <w:u w:val="single"/>
          </w:rPr>
          <w:t xml:space="preserve">2.2.  Actores del sistema</w:t>
        </w:r>
      </w:hyperlink>
    </w:p>
    <w:p>
      <w:pPr>
        <w:spacing w:after="40" w:before="60"/>
        <w:ind w:left="680"/>
      </w:pPr>
      <w:hyperlink w:anchor="sec2_3" w:history="1">
        <w:r>
          <w:rPr>
            <w:rStyle w:val="Hyperlink"/>
            <w:rFonts w:ascii="Arial" w:hAnsi="Arial" w:cs="Arial"/>
            <w:sz w:val="18"/>
            <w:szCs w:val="18"/>
            <w:color w:val="45699E"/>
            <w:u w:val="single"/>
          </w:rPr>
          <w:t xml:space="preserve">2.3.  Marco tecnológico</w:t>
        </w:r>
      </w:hyperlink>
    </w:p>
    <w:p>
      <w:pPr>
        <w:spacing w:after="40" w:before="100"/>
        <w:ind w:left="113"/>
      </w:pPr>
      <w:hyperlink w:anchor="sec3" w:history="1">
        <w:r>
          <w:rPr>
            <w:rStyle w:val="Hyperlink"/>
            <w:rFonts w:ascii="Arial" w:hAnsi="Arial" w:cs="Arial"/>
            <w:sz w:val="20"/>
            <w:szCs w:val="20"/>
            <w:color w:val="1B3A6B"/>
            <w:u w:val="single"/>
            <w:b/>
            <w:bCs/>
          </w:rPr>
          <w:t xml:space="preserve">3.  ARQUITECTURA FUNCIONAL</w:t>
        </w:r>
      </w:hyperlink>
    </w:p>
    <w:p>
      <w:pPr>
        <w:spacing w:after="40" w:before="60"/>
        <w:ind w:left="680"/>
      </w:pPr>
      <w:hyperlink w:anchor="sec3_1" w:history="1">
        <w:r>
          <w:rPr>
            <w:rStyle w:val="Hyperlink"/>
            <w:rFonts w:ascii="Arial" w:hAnsi="Arial" w:cs="Arial"/>
            <w:sz w:val="18"/>
            <w:szCs w:val="18"/>
            <w:color w:val="45699E"/>
            <w:u w:val="single"/>
          </w:rPr>
          <w:t xml:space="preserve">3.1.  Módulos del sistema</w:t>
        </w:r>
      </w:hyperlink>
    </w:p>
    <w:p>
      <w:pPr>
        <w:spacing w:after="40" w:before="60"/>
        <w:ind w:left="680"/>
      </w:pPr>
      <w:hyperlink w:anchor="sec3_2" w:history="1">
        <w:r>
          <w:rPr>
            <w:rStyle w:val="Hyperlink"/>
            <w:rFonts w:ascii="Arial" w:hAnsi="Arial" w:cs="Arial"/>
            <w:sz w:val="18"/>
            <w:szCs w:val="18"/>
            <w:color w:val="45699E"/>
            <w:u w:val="single"/>
          </w:rPr>
          <w:t xml:space="preserve">3.2.  Mapa de dependencias</w:t>
        </w:r>
      </w:hyperlink>
    </w:p>
    <w:p>
      <w:pPr>
        <w:spacing w:after="40" w:before="100"/>
        <w:ind w:left="113"/>
      </w:pPr>
      <w:hyperlink w:anchor="sec4" w:history="1">
        <w:r>
          <w:rPr>
            <w:rStyle w:val="Hyperlink"/>
            <w:rFonts w:ascii="Arial" w:hAnsi="Arial" w:cs="Arial"/>
            <w:sz w:val="20"/>
            <w:szCs w:val="20"/>
            <w:color w:val="1B3A6B"/>
            <w:u w:val="single"/>
            <w:b/>
            <w:bCs/>
          </w:rPr>
          <w:t xml:space="preserve">4.  CATÁLOGO DE FUNCIONALIDADES</w:t>
        </w:r>
      </w:hyperlink>
    </w:p>
    <w:p>
      <w:pPr>
        <w:spacing w:after="40" w:before="60"/>
        <w:ind w:left="680"/>
      </w:pPr>
      <w:hyperlink w:anchor="sprint_1-2" w:history="1">
        <w:r>
          <w:rPr>
            <w:rStyle w:val="Hyperlink"/>
            <w:rFonts w:ascii="Arial" w:hAnsi="Arial" w:cs="Arial"/>
            <w:sz w:val="18"/>
            <w:szCs w:val="18"/>
            <w:color w:val="45699E"/>
            <w:u w:val="single"/>
          </w:rPr>
          <w:t xml:space="preserve">4.1.  Sprint 1-2 — FEAT-001</w:t>
        </w:r>
      </w:hyperlink>
    </w:p>
    <w:p>
      <w:pPr>
        <w:spacing w:after="40" w:before="60"/>
        <w:ind w:left="680"/>
      </w:pPr>
      <w:hyperlink w:anchor="sprint_3" w:history="1">
        <w:r>
          <w:rPr>
            <w:rStyle w:val="Hyperlink"/>
            <w:rFonts w:ascii="Arial" w:hAnsi="Arial" w:cs="Arial"/>
            <w:sz w:val="18"/>
            <w:szCs w:val="18"/>
            <w:color w:val="45699E"/>
            <w:u w:val="single"/>
          </w:rPr>
          <w:t xml:space="preserve">4.2.  Sprint 3 — FEAT-002</w:t>
        </w:r>
      </w:hyperlink>
    </w:p>
    <w:p>
      <w:pPr>
        <w:spacing w:after="40" w:before="60"/>
        <w:ind w:left="680"/>
      </w:pPr>
      <w:hyperlink w:anchor="sprint_4" w:history="1">
        <w:r>
          <w:rPr>
            <w:rStyle w:val="Hyperlink"/>
            <w:rFonts w:ascii="Arial" w:hAnsi="Arial" w:cs="Arial"/>
            <w:sz w:val="18"/>
            <w:szCs w:val="18"/>
            <w:color w:val="45699E"/>
            <w:u w:val="single"/>
          </w:rPr>
          <w:t xml:space="preserve">4.3.  Sprint 4 — FEAT-003</w:t>
        </w:r>
      </w:hyperlink>
    </w:p>
    <w:p>
      <w:pPr>
        <w:spacing w:after="40" w:before="60"/>
        <w:ind w:left="680"/>
      </w:pPr>
      <w:hyperlink w:anchor="sprint_6" w:history="1">
        <w:r>
          <w:rPr>
            <w:rStyle w:val="Hyperlink"/>
            <w:rFonts w:ascii="Arial" w:hAnsi="Arial" w:cs="Arial"/>
            <w:sz w:val="18"/>
            <w:szCs w:val="18"/>
            <w:color w:val="45699E"/>
            <w:u w:val="single"/>
          </w:rPr>
          <w:t xml:space="preserve">4.4.  Sprint 6 — FEAT-005</w:t>
        </w:r>
      </w:hyperlink>
    </w:p>
    <w:p>
      <w:pPr>
        <w:spacing w:after="40" w:before="60"/>
        <w:ind w:left="680"/>
      </w:pPr>
      <w:hyperlink w:anchor="sprint_7" w:history="1">
        <w:r>
          <w:rPr>
            <w:rStyle w:val="Hyperlink"/>
            <w:rFonts w:ascii="Arial" w:hAnsi="Arial" w:cs="Arial"/>
            <w:sz w:val="18"/>
            <w:szCs w:val="18"/>
            <w:color w:val="45699E"/>
            <w:u w:val="single"/>
          </w:rPr>
          <w:t xml:space="preserve">4.5.  Sprint 7 — FEAT-006</w:t>
        </w:r>
      </w:hyperlink>
    </w:p>
    <w:p>
      <w:pPr>
        <w:spacing w:after="40" w:before="60"/>
        <w:ind w:left="680"/>
      </w:pPr>
      <w:hyperlink w:anchor="sprint_9" w:history="1">
        <w:r>
          <w:rPr>
            <w:rStyle w:val="Hyperlink"/>
            <w:rFonts w:ascii="Arial" w:hAnsi="Arial" w:cs="Arial"/>
            <w:sz w:val="18"/>
            <w:szCs w:val="18"/>
            <w:color w:val="45699E"/>
            <w:u w:val="single"/>
          </w:rPr>
          <w:t xml:space="preserve">4.6.  Sprint 9 — FEAT-007</w:t>
        </w:r>
      </w:hyperlink>
    </w:p>
    <w:p>
      <w:pPr>
        <w:spacing w:after="40" w:before="60"/>
        <w:ind w:left="680"/>
      </w:pPr>
      <w:hyperlink w:anchor="sprint_10" w:history="1">
        <w:r>
          <w:rPr>
            <w:rStyle w:val="Hyperlink"/>
            <w:rFonts w:ascii="Arial" w:hAnsi="Arial" w:cs="Arial"/>
            <w:sz w:val="18"/>
            <w:szCs w:val="18"/>
            <w:color w:val="45699E"/>
            <w:u w:val="single"/>
          </w:rPr>
          <w:t xml:space="preserve">4.7.  Sprint 10 — FEAT-008</w:t>
        </w:r>
      </w:hyperlink>
    </w:p>
    <w:p>
      <w:pPr>
        <w:spacing w:after="40" w:before="60"/>
        <w:ind w:left="680"/>
      </w:pPr>
      <w:hyperlink w:anchor="sprint_11" w:history="1">
        <w:r>
          <w:rPr>
            <w:rStyle w:val="Hyperlink"/>
            <w:rFonts w:ascii="Arial" w:hAnsi="Arial" w:cs="Arial"/>
            <w:sz w:val="18"/>
            <w:szCs w:val="18"/>
            <w:color w:val="45699E"/>
            <w:u w:val="single"/>
          </w:rPr>
          <w:t xml:space="preserve">4.8.  Sprint 11 — FEAT-009</w:t>
        </w:r>
      </w:hyperlink>
    </w:p>
    <w:p>
      <w:pPr>
        <w:spacing w:after="40" w:before="60"/>
        <w:ind w:left="680"/>
      </w:pPr>
      <w:hyperlink w:anchor="sprint_12" w:history="1">
        <w:r>
          <w:rPr>
            <w:rStyle w:val="Hyperlink"/>
            <w:rFonts w:ascii="Arial" w:hAnsi="Arial" w:cs="Arial"/>
            <w:sz w:val="18"/>
            <w:szCs w:val="18"/>
            <w:color w:val="45699E"/>
            <w:u w:val="single"/>
          </w:rPr>
          <w:t xml:space="preserve">4.9.  Sprint 12 — FEAT-010</w:t>
        </w:r>
      </w:hyperlink>
    </w:p>
    <w:p>
      <w:pPr>
        <w:spacing w:after="40" w:before="60"/>
        <w:ind w:left="680"/>
      </w:pPr>
      <w:hyperlink w:anchor="sprint_13" w:history="1">
        <w:r>
          <w:rPr>
            <w:rStyle w:val="Hyperlink"/>
            <w:rFonts w:ascii="Arial" w:hAnsi="Arial" w:cs="Arial"/>
            <w:sz w:val="18"/>
            <w:szCs w:val="18"/>
            <w:color w:val="45699E"/>
            <w:u w:val="single"/>
          </w:rPr>
          <w:t xml:space="preserve">4.10.  Sprint 13 — FEAT-011</w:t>
        </w:r>
      </w:hyperlink>
    </w:p>
    <w:p>
      <w:pPr>
        <w:spacing w:after="40" w:before="60"/>
        <w:ind w:left="680"/>
      </w:pPr>
      <w:hyperlink w:anchor="sprint_14" w:history="1">
        <w:r>
          <w:rPr>
            <w:rStyle w:val="Hyperlink"/>
            <w:rFonts w:ascii="Arial" w:hAnsi="Arial" w:cs="Arial"/>
            <w:sz w:val="18"/>
            <w:szCs w:val="18"/>
            <w:color w:val="45699E"/>
            <w:u w:val="single"/>
          </w:rPr>
          <w:t xml:space="preserve">4.11.  Sprint 14 — FEAT-012</w:t>
        </w:r>
      </w:hyperlink>
    </w:p>
    <w:p>
      <w:pPr>
        <w:spacing w:after="40" w:before="60"/>
        <w:ind w:left="680"/>
      </w:pPr>
      <w:hyperlink w:anchor="sprint_15" w:history="1">
        <w:r>
          <w:rPr>
            <w:rStyle w:val="Hyperlink"/>
            <w:rFonts w:ascii="Arial" w:hAnsi="Arial" w:cs="Arial"/>
            <w:sz w:val="18"/>
            <w:szCs w:val="18"/>
            <w:color w:val="45699E"/>
            <w:u w:val="single"/>
          </w:rPr>
          <w:t xml:space="preserve">4.12.  Sprint 15 — FEAT-013</w:t>
        </w:r>
      </w:hyperlink>
    </w:p>
    <w:p>
      <w:pPr>
        <w:spacing w:after="40" w:before="60"/>
        <w:ind w:left="680"/>
      </w:pPr>
      <w:hyperlink w:anchor="sprint_16" w:history="1">
        <w:r>
          <w:rPr>
            <w:rStyle w:val="Hyperlink"/>
            <w:rFonts w:ascii="Arial" w:hAnsi="Arial" w:cs="Arial"/>
            <w:sz w:val="18"/>
            <w:szCs w:val="18"/>
            <w:color w:val="45699E"/>
            <w:u w:val="single"/>
          </w:rPr>
          <w:t xml:space="preserve">4.13.  Sprint 16 — FEAT-014</w:t>
        </w:r>
      </w:hyperlink>
    </w:p>
    <w:p>
      <w:pPr>
        <w:spacing w:after="40" w:before="60"/>
        <w:ind w:left="680"/>
      </w:pPr>
      <w:hyperlink w:anchor="sprint_17" w:history="1">
        <w:r>
          <w:rPr>
            <w:rStyle w:val="Hyperlink"/>
            <w:rFonts w:ascii="Arial" w:hAnsi="Arial" w:cs="Arial"/>
            <w:sz w:val="18"/>
            <w:szCs w:val="18"/>
            <w:color w:val="45699E"/>
            <w:u w:val="single"/>
          </w:rPr>
          <w:t xml:space="preserve">4.14.  Sprint 17 — FEAT-015</w:t>
        </w:r>
      </w:hyperlink>
    </w:p>
    <w:p>
      <w:pPr>
        <w:spacing w:after="40" w:before="60"/>
        <w:ind w:left="680"/>
      </w:pPr>
      <w:hyperlink w:anchor="sprint_18" w:history="1">
        <w:r>
          <w:rPr>
            <w:rStyle w:val="Hyperlink"/>
            <w:rFonts w:ascii="Arial" w:hAnsi="Arial" w:cs="Arial"/>
            <w:sz w:val="18"/>
            <w:szCs w:val="18"/>
            <w:color w:val="45699E"/>
            <w:u w:val="single"/>
          </w:rPr>
          <w:t xml:space="preserve">4.15.  Sprint 18 — FEAT-016</w:t>
        </w:r>
      </w:hyperlink>
    </w:p>
    <w:p>
      <w:pPr>
        <w:spacing w:after="40" w:before="60"/>
        <w:ind w:left="680"/>
      </w:pPr>
      <w:hyperlink w:anchor="sprint_19" w:history="1">
        <w:r>
          <w:rPr>
            <w:rStyle w:val="Hyperlink"/>
            <w:rFonts w:ascii="Arial" w:hAnsi="Arial" w:cs="Arial"/>
            <w:sz w:val="18"/>
            <w:szCs w:val="18"/>
            <w:color w:val="45699E"/>
            <w:u w:val="single"/>
          </w:rPr>
          <w:t xml:space="preserve">4.16.  Sprint 19 — FEAT-017</w:t>
        </w:r>
      </w:hyperlink>
    </w:p>
    <w:p>
      <w:pPr>
        <w:spacing w:after="40" w:before="60"/>
        <w:ind w:left="680"/>
      </w:pPr>
      <w:hyperlink w:anchor="sprint_20" w:history="1">
        <w:r>
          <w:rPr>
            <w:rStyle w:val="Hyperlink"/>
            <w:rFonts w:ascii="Arial" w:hAnsi="Arial" w:cs="Arial"/>
            <w:sz w:val="18"/>
            <w:szCs w:val="18"/>
            <w:color w:val="45699E"/>
            <w:u w:val="single"/>
          </w:rPr>
          <w:t xml:space="preserve">4.17.  Sprint 20 — DEBT-035 · FEAT-018</w:t>
        </w:r>
      </w:hyperlink>
    </w:p>
    <w:p>
      <w:pPr>
        <w:spacing w:after="40" w:before="60"/>
        <w:ind w:left="680"/>
      </w:pPr>
      <w:hyperlink w:anchor="sprint_21" w:history="1">
        <w:r>
          <w:rPr>
            <w:rStyle w:val="Hyperlink"/>
            <w:rFonts w:ascii="Arial" w:hAnsi="Arial" w:cs="Arial"/>
            <w:sz w:val="18"/>
            <w:szCs w:val="18"/>
            <w:color w:val="45699E"/>
            <w:u w:val="single"/>
          </w:rPr>
          <w:t xml:space="preserve">4.18.  Sprint 21 — FEAT-019</w:t>
        </w:r>
      </w:hyperlink>
    </w:p>
    <w:p>
      <w:pPr>
        <w:spacing w:after="40" w:before="60"/>
        <w:ind w:left="680"/>
      </w:pPr>
      <w:hyperlink w:anchor="sprint_22" w:history="1">
        <w:r>
          <w:rPr>
            <w:rStyle w:val="Hyperlink"/>
            <w:rFonts w:ascii="Arial" w:hAnsi="Arial" w:cs="Arial"/>
            <w:sz w:val="18"/>
            <w:szCs w:val="18"/>
            <w:color w:val="45699E"/>
            <w:u w:val="single"/>
          </w:rPr>
          <w:t xml:space="preserve">4.19.  Sprint 22 — FEAT-020</w:t>
        </w:r>
      </w:hyperlink>
    </w:p>
    <w:p>
      <w:pPr>
        <w:spacing w:after="40" w:before="60"/>
        <w:ind w:left="680"/>
      </w:pPr>
      <w:hyperlink w:anchor="sprint_23" w:history="1">
        <w:r>
          <w:rPr>
            <w:rStyle w:val="Hyperlink"/>
            <w:rFonts w:ascii="Arial" w:hAnsi="Arial" w:cs="Arial"/>
            <w:sz w:val="18"/>
            <w:szCs w:val="18"/>
            <w:color w:val="45699E"/>
            <w:u w:val="single"/>
          </w:rPr>
          <w:t xml:space="preserve">4.20.  Sprint 23 — DEBT-036+037+044 · FEAT-021</w:t>
        </w:r>
      </w:hyperlink>
    </w:p>
    <w:p>
      <w:pPr>
        <w:spacing w:after="40" w:before="60"/>
        <w:ind w:left="680"/>
      </w:pPr>
      <w:hyperlink w:anchor="sprint_24" w:history="1">
        <w:r>
          <w:rPr>
            <w:rStyle w:val="Hyperlink"/>
            <w:rFonts w:ascii="Arial" w:hAnsi="Arial" w:cs="Arial"/>
            <w:sz w:val="18"/>
            <w:szCs w:val="18"/>
            <w:color w:val="45699E"/>
            <w:u w:val="single"/>
          </w:rPr>
          <w:t xml:space="preserve">4.21.  Sprint 24 — FEAT-022</w:t>
        </w:r>
      </w:hyperlink>
    </w:p>
    <w:p>
      <w:pPr>
        <w:spacing w:after="40" w:before="60"/>
        <w:ind w:left="680"/>
      </w:pPr>
      <w:hyperlink w:anchor="sprint_25" w:history="1">
        <w:r>
          <w:rPr>
            <w:rStyle w:val="Hyperlink"/>
            <w:rFonts w:ascii="Arial" w:hAnsi="Arial" w:cs="Arial"/>
            <w:sz w:val="18"/>
            <w:szCs w:val="18"/>
            <w:color w:val="45699E"/>
            <w:u w:val="single"/>
          </w:rPr>
          <w:t xml:space="preserve">4.22.  Sprint 25 — FEAT-023</w:t>
        </w:r>
      </w:hyperlink>
    </w:p>
    <w:p>
      <w:pPr>
        <w:spacing w:after="40" w:before="60"/>
        <w:ind w:left="680"/>
      </w:pPr>
      <w:hyperlink w:anchor="sprint_26" w:history="1">
        <w:r>
          <w:rPr>
            <w:rStyle w:val="Hyperlink"/>
            <w:rFonts w:ascii="Arial" w:hAnsi="Arial" w:cs="Arial"/>
            <w:sz w:val="18"/>
            <w:szCs w:val="18"/>
            <w:color w:val="45699E"/>
            <w:u w:val="single"/>
          </w:rPr>
          <w:t xml:space="preserve">4.23.  Sprint 26 — FEAT-024</w:t>
        </w:r>
      </w:hyperlink>
    </w:p>
    <w:p>
      <w:pPr>
        <w:spacing w:after="40" w:before="60"/>
        <w:ind w:left="680"/>
      </w:pPr>
      <w:hyperlink w:anchor="sprint_5+8" w:history="1">
        <w:r>
          <w:rPr>
            <w:rStyle w:val="Hyperlink"/>
            <w:rFonts w:ascii="Arial" w:hAnsi="Arial" w:cs="Arial"/>
            <w:sz w:val="18"/>
            <w:szCs w:val="18"/>
            <w:color w:val="45699E"/>
            <w:u w:val="single"/>
          </w:rPr>
          <w:t xml:space="preserve">4.24.  Sprint 5+8 — FEAT-004</w:t>
        </w:r>
      </w:hyperlink>
    </w:p>
    <w:p>
      <w:pPr>
        <w:spacing w:after="40" w:before="100"/>
        <w:ind w:left="113"/>
      </w:pPr>
      <w:hyperlink w:anchor="sec5" w:history="1">
        <w:r>
          <w:rPr>
            <w:rStyle w:val="Hyperlink"/>
            <w:rFonts w:ascii="Arial" w:hAnsi="Arial" w:cs="Arial"/>
            <w:sz w:val="20"/>
            <w:szCs w:val="20"/>
            <w:color w:val="1B3A6B"/>
            <w:u w:val="single"/>
            <w:b/>
            <w:bCs/>
          </w:rPr>
          <w:t xml:space="preserve">5.  REGLAS DE NEGOCIO CONSOLIDADAS</w:t>
        </w:r>
      </w:hyperlink>
    </w:p>
    <w:p>
      <w:pPr>
        <w:spacing w:after="40" w:before="100"/>
        <w:ind w:left="113"/>
      </w:pPr>
      <w:hyperlink w:anchor="sec6" w:history="1">
        <w:r>
          <w:rPr>
            <w:rStyle w:val="Hyperlink"/>
            <w:rFonts w:ascii="Arial" w:hAnsi="Arial" w:cs="Arial"/>
            <w:sz w:val="20"/>
            <w:szCs w:val="20"/>
            <w:color w:val="1B3A6B"/>
            <w:u w:val="single"/>
            <w:b/>
            <w:bCs/>
          </w:rPr>
          <w:t xml:space="preserve">6.  GLOSARIO DEL DOMINIO</w:t>
        </w:r>
      </w:hyperlink>
    </w:p>
    <w:p>
      <w:pPr>
        <w:spacing w:after="40" w:before="100"/>
        <w:ind w:left="113"/>
      </w:pPr>
      <w:hyperlink w:anchor="sec7" w:history="1">
        <w:r>
          <w:rPr>
            <w:rStyle w:val="Hyperlink"/>
            <w:rFonts w:ascii="Arial" w:hAnsi="Arial" w:cs="Arial"/>
            <w:sz w:val="20"/>
            <w:szCs w:val="20"/>
            <w:color w:val="1B3A6B"/>
            <w:u w:val="single"/>
            <w:b/>
            <w:bCs/>
          </w:rPr>
          <w:t xml:space="preserve">7.  MATRIZ DE COBERTURA FUNCIONAL</w:t>
        </w:r>
      </w:hyperlink>
    </w:p>
    <w:p>
      <w:pPr>
        <w:spacing w:after="40" w:before="100"/>
        <w:ind w:left="113"/>
      </w:pPr>
      <w:hyperlink w:anchor="sec8" w:history="1">
        <w:r>
          <w:rPr>
            <w:rStyle w:val="Hyperlink"/>
            <w:rFonts w:ascii="Arial" w:hAnsi="Arial" w:cs="Arial"/>
            <w:sz w:val="20"/>
            <w:szCs w:val="20"/>
            <w:color w:val="1B3A6B"/>
            <w:u w:val="single"/>
            <w:b/>
            <w:bCs/>
          </w:rPr>
          <w:t xml:space="preserve">8.  HISTORIAL DE CAMBIOS</w:t>
        </w:r>
      </w:hyperlink>
    </w:p>
    <w:p>
      <w:r>
        <w:rPr>
          <w:rFonts w:ascii="Arial" w:hAnsi="Arial"/>
          <w:color w:val="45699E"/>
          <w:sz w:val="16"/>
        </w:rPr>
        <w:t>──────────────────────────────────────────────────────────────────────────</w:t>
      </w:r>
    </w:p>
    <w:p>
      <w:r>
        <w:rPr>
          <w:rFonts w:ascii="Arial" w:hAnsi="Arial"/>
          <w:i/>
          <w:color w:val="666666"/>
          <w:sz w:val="16"/>
        </w:rPr>
        <w:t>ℹ  Haga clic en cualquier entrada del índice para navegar directamente a la sección. (En Word: Ctrl+Clic en modo edición · Clic directo en modo lectura)</w:t>
      </w:r>
    </w:p>
    <w:p>
      <w:r>
        <w:br w:type="page"/>
      </w:r>
    </w:p>
    <w:p>
      <w:bookmarkStart w:id="2" w:name="sec1"/>
      <w:pPr>
        <w:pStyle w:val="Heading1"/>
      </w:pPr>
      <w:r>
        <w:rPr>
          <w:rFonts w:ascii="Arial" w:hAnsi="Arial"/>
          <w:color w:val="1B3A6B"/>
          <w:sz w:val="28"/>
        </w:rPr>
        <w:t>1. RESUMEN EJECUTIVO</w:t>
      </w:r>
      <w:bookmarkEnd w:id="2"/>
    </w:p>
    <w:p>
      <w:r>
        <w:rPr>
          <w:rFonts w:ascii="Arial" w:hAnsi="Arial"/>
          <w:i w:val="0"/>
          <w:color w:val="333333"/>
          <w:sz w:val="20"/>
        </w:rPr>
        <w:t>Este documento recoge el Análisis Funcional acumulativo del proyecto bank-portal para Banco Meridian, gestionado bajo la metodología SOFIA v2.7 con CMMI Nivel 3 y Scrumban. El documento es un artefacto vivo que se actualiza incrementalmente en cada sprint.</w:t>
      </w:r>
    </w:p>
    <w:p/>
    <w:tbl>
      <w:tblPr>
        <w:tblW w:type="auto" w:w="0"/>
        <w:jc w:val="left"/>
        <w:tblLook w:firstColumn="1" w:firstRow="1" w:lastColumn="0" w:lastRow="0" w:noHBand="0" w:noVBand="1" w:val="04A0"/>
      </w:tblPr>
      <w:tblGrid>
        <w:gridCol w:w="2268"/>
        <w:gridCol w:w="2268"/>
        <w:gridCol w:w="2268"/>
        <w:gridCol w:w="2268"/>
      </w:tblGrid>
      <w:tr>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Funcionalidades</w:t>
            </w:r>
          </w:p>
        </w:tc>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Reglas de Negocio</w:t>
            </w:r>
          </w:p>
        </w:tc>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Sprints consolidados</w:t>
            </w:r>
          </w:p>
        </w:tc>
        <w:tc>
          <w:tcPr>
            <w:tcW w:type="dxa" w:w="238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Última feature</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108</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S1–S26</w:t>
            </w:r>
          </w:p>
        </w:tc>
        <w:tc>
          <w:tcPr>
            <w:tcW w:type="dxa" w:w="238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FEAT-024</w:t>
            </w:r>
          </w:p>
        </w:tc>
      </w:tr>
    </w:tbl>
    <w:p/>
    <w:p>
      <w:pPr>
        <w:pStyle w:val="Heading2"/>
      </w:pPr>
      <w:r>
        <w:rPr>
          <w:rFonts w:ascii="Arial" w:hAnsi="Arial"/>
          <w:color w:val="45699E"/>
          <w:sz w:val="24"/>
        </w:rPr>
        <w:t>1.1 Estado por sprint</w:t>
      </w:r>
    </w:p>
    <w:tbl>
      <w:tblPr>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w:t>
            </w:r>
          </w:p>
        </w:tc>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Feature</w:t>
            </w:r>
          </w:p>
        </w:tc>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Tests</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Cobertura</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Release</w:t>
            </w:r>
          </w:p>
        </w:tc>
        <w:tc>
          <w:tcPr>
            <w:tcW w:type="dxa" w:w="102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Estado</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25</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89%</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v1.24.0</w:t>
            </w:r>
          </w:p>
        </w:tc>
        <w:tc>
          <w:tcPr>
            <w:tcW w:type="dxa" w:w="102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COMPLETED</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64</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89%</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v1.25.0</w:t>
            </w:r>
          </w:p>
        </w:tc>
        <w:tc>
          <w:tcPr>
            <w:tcW w:type="dxa" w:w="102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COMPLETED</w:t>
            </w:r>
          </w:p>
        </w:tc>
      </w:tr>
    </w:tbl>
    <w:p/>
    <w:p>
      <w:pPr>
        <w:pStyle w:val="Heading2"/>
      </w:pPr>
      <w:r>
        <w:rPr>
          <w:rFonts w:ascii="Arial" w:hAnsi="Arial"/>
          <w:color w:val="45699E"/>
          <w:sz w:val="24"/>
        </w:rPr>
        <w:t>1.2 Leyenda de evidencias</w:t>
      </w:r>
    </w:p>
    <w:p>
      <w:r>
        <w:rPr>
          <w:rFonts w:ascii="Arial" w:hAnsi="Arial"/>
          <w:i w:val="0"/>
          <w:color w:val="333333"/>
          <w:sz w:val="20"/>
        </w:rPr>
        <w:t>Los artefactos de este documento se clasifican por nivel de evidencia:</w:t>
      </w:r>
    </w:p>
    <w:p>
      <w:pPr>
        <w:pStyle w:val="ListBullet"/>
        <w:ind w:left="283"/>
      </w:pPr>
      <w:r>
        <w:rPr>
          <w:rFonts w:ascii="Arial" w:hAnsi="Arial"/>
          <w:color w:val="333333"/>
          <w:sz w:val="18"/>
        </w:rPr>
        <w:t>SPRINT-N: Documentado con evidencia directa del sprint cerrado — artefactos verificados.</w:t>
      </w:r>
    </w:p>
    <w:p>
      <w:pPr>
        <w:pStyle w:val="ListBullet"/>
        <w:ind w:left="283"/>
      </w:pPr>
      <w:r>
        <w:rPr>
          <w:rFonts w:ascii="Arial" w:hAnsi="Arial"/>
          <w:color w:val="333333"/>
          <w:sz w:val="18"/>
        </w:rPr>
        <w:t>RECONSTRUIDO: Inferido desde código fuente, migraciones o retrospectiva — evidencia indirecta.</w:t>
      </w:r>
    </w:p>
    <w:p>
      <w:pPr>
        <w:pStyle w:val="ListBullet"/>
        <w:ind w:left="283"/>
      </w:pPr>
      <w:r>
        <w:rPr>
          <w:rFonts w:ascii="Arial" w:hAnsi="Arial"/>
          <w:color w:val="333333"/>
          <w:sz w:val="18"/>
        </w:rPr>
        <w:t>PLANNED: Funcionalidad planificada en el sprint activo — pendiente de entrega.</w:t>
      </w:r>
    </w:p>
    <w:p>
      <w:r>
        <w:br w:type="page"/>
      </w:r>
    </w:p>
    <w:p>
      <w:bookmarkStart w:id="3" w:name="sec2"/>
      <w:pPr>
        <w:pStyle w:val="Heading1"/>
      </w:pPr>
      <w:r>
        <w:rPr>
          <w:rFonts w:ascii="Arial" w:hAnsi="Arial"/>
          <w:color w:val="1B3A6B"/>
          <w:sz w:val="28"/>
        </w:rPr>
        <w:t>2. CONTEXTO DE NEGOCIO</w:t>
      </w:r>
      <w:bookmarkEnd w:id="3"/>
    </w:p>
    <w:p>
      <w:bookmarkStart w:id="4" w:name="sec2_1"/>
      <w:pPr>
        <w:pStyle w:val="Heading2"/>
      </w:pPr>
      <w:r>
        <w:rPr>
          <w:rFonts w:ascii="Arial" w:hAnsi="Arial"/>
          <w:color w:val="45699E"/>
          <w:sz w:val="24"/>
        </w:rPr>
        <w:t>2.1 Descripción del proyecto</w:t>
      </w:r>
      <w:bookmarkEnd w:id="4"/>
    </w:p>
    <w:p>
      <w:r>
        <w:rPr>
          <w:rFonts w:ascii="Arial" w:hAnsi="Arial"/>
          <w:i w:val="0"/>
          <w:color w:val="333333"/>
          <w:sz w:val="20"/>
        </w:rPr>
        <w:t>bank-portal es un sistema desarrollado para Banco Meridian bajo la metodología SOFIA con CMMI Nivel 3. El desarrollo sigue ciclos Scrumban de 2 semanas con pipeline de calidad automatizado (17 steps, 9 gates HITL).</w:t>
      </w:r>
    </w:p>
    <w:p/>
    <w:p>
      <w:bookmarkStart w:id="5" w:name="sec2_2"/>
      <w:pPr>
        <w:pStyle w:val="Heading2"/>
      </w:pPr>
      <w:r>
        <w:rPr>
          <w:rFonts w:ascii="Arial" w:hAnsi="Arial"/>
          <w:color w:val="45699E"/>
          <w:sz w:val="24"/>
        </w:rPr>
        <w:t>2.2 Actores del sistema</w:t>
      </w:r>
      <w:bookmarkEnd w:id="5"/>
    </w:p>
    <w:tbl>
      <w:tblPr>
        <w:tblW w:type="auto" w:w="0"/>
        <w:jc w:val="left"/>
        <w:tblLook w:firstColumn="1" w:firstRow="1" w:lastColumn="0" w:lastRow="0" w:noHBand="0" w:noVBand="1" w:val="04A0"/>
      </w:tblPr>
      <w:tblGrid>
        <w:gridCol w:w="3024"/>
        <w:gridCol w:w="3024"/>
        <w:gridCol w:w="3024"/>
      </w:tblGrid>
      <w:tr>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Rol</w:t>
            </w:r>
          </w:p>
        </w:tc>
        <w:tc>
          <w:tcPr>
            <w:tcW w:type="dxa" w:w="3685"/>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Descripción</w:t>
            </w:r>
          </w:p>
        </w:tc>
        <w:tc>
          <w:tcPr>
            <w:tcW w:type="dxa" w:w="2665"/>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Acceso</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Usuario final</w:t>
            </w:r>
          </w:p>
        </w:tc>
        <w:tc>
          <w:tcPr>
            <w:tcW w:type="dxa" w:w="368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Usuario principal del sistema</w:t>
            </w:r>
          </w:p>
        </w:tc>
        <w:tc>
          <w:tcPr>
            <w:tcW w:type="dxa" w:w="266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Web / API</w:t>
            </w:r>
          </w:p>
        </w:tc>
      </w:tr>
      <w:tr>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Administrador</w:t>
            </w:r>
          </w:p>
        </w:tc>
        <w:tc>
          <w:tcPr>
            <w:tcW w:type="dxa" w:w="368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Gestión de configuración y catálogos</w:t>
            </w:r>
          </w:p>
        </w:tc>
        <w:tc>
          <w:tcPr>
            <w:tcW w:type="dxa" w:w="266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Web / API</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Sistema</w:t>
            </w:r>
          </w:p>
        </w:tc>
        <w:tc>
          <w:tcPr>
            <w:tcW w:type="dxa" w:w="368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Procesos automáticos y schedulers</w:t>
            </w:r>
          </w:p>
        </w:tc>
        <w:tc>
          <w:tcPr>
            <w:tcW w:type="dxa" w:w="266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Interno</w:t>
            </w:r>
          </w:p>
        </w:tc>
      </w:tr>
    </w:tbl>
    <w:p/>
    <w:p>
      <w:bookmarkStart w:id="6" w:name="sec2_3"/>
      <w:pPr>
        <w:pStyle w:val="Heading2"/>
      </w:pPr>
      <w:r>
        <w:rPr>
          <w:rFonts w:ascii="Arial" w:hAnsi="Arial"/>
          <w:color w:val="45699E"/>
          <w:sz w:val="24"/>
        </w:rPr>
        <w:t>2.3 Marco tecnológico</w:t>
      </w:r>
      <w:bookmarkEnd w:id="6"/>
    </w:p>
    <w:tbl>
      <w:tblPr>
        <w:tblW w:type="auto" w:w="0"/>
        <w:jc w:val="left"/>
        <w:tblLook w:firstColumn="1" w:firstRow="1" w:lastColumn="0" w:lastRow="0" w:noHBand="0" w:noVBand="1" w:val="04A0"/>
      </w:tblPr>
      <w:tblGrid>
        <w:gridCol w:w="4536"/>
        <w:gridCol w:w="4536"/>
      </w:tblGrid>
      <w:tr>
        <w:tc>
          <w:tcPr>
            <w:tcW w:type="dxa" w:w="2268"/>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Capa</w:t>
            </w:r>
          </w:p>
        </w:tc>
        <w:tc>
          <w:tcPr>
            <w:tcW w:type="dxa" w:w="6066"/>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Tecnología</w:t>
            </w:r>
          </w:p>
        </w:tc>
      </w:tr>
      <w:tr>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Backend</w:t>
            </w:r>
          </w:p>
        </w:tc>
        <w:tc>
          <w:tcPr>
            <w:tcW w:type="dxa" w:w="6066"/>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java</w:t>
            </w:r>
          </w:p>
        </w:tc>
      </w:tr>
      <w:tr>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Frontend</w:t>
            </w:r>
          </w:p>
        </w:tc>
        <w:tc>
          <w:tcPr>
            <w:tcW w:type="dxa" w:w="6066"/>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angular</w:t>
            </w:r>
          </w:p>
        </w:tc>
      </w:tr>
      <w:tr>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Base de datos</w:t>
            </w:r>
          </w:p>
        </w:tc>
        <w:tc>
          <w:tcPr>
            <w:tcW w:type="dxa" w:w="6066"/>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postgresql · redis</w:t>
            </w:r>
          </w:p>
        </w:tc>
      </w:tr>
      <w:tr>
        <w:tc>
          <w:tcPr>
            <w:tcW w:type="dxa" w:w="2268"/>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Infraestructura</w:t>
            </w:r>
          </w:p>
        </w:tc>
        <w:tc>
          <w:tcPr>
            <w:tcW w:type="dxa" w:w="6066"/>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docker · jenkins</w:t>
            </w:r>
          </w:p>
        </w:tc>
      </w:tr>
      <w:tr>
        <w:tc>
          <w:tcPr>
            <w:tcW w:type="dxa" w:w="2268"/>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Metodología</w:t>
            </w:r>
          </w:p>
        </w:tc>
        <w:tc>
          <w:tcPr>
            <w:tcW w:type="dxa" w:w="6066"/>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SOFIA v2.7 · Scrumban · CMMI L3 · 17 steps pipeline</w:t>
            </w:r>
          </w:p>
        </w:tc>
      </w:tr>
    </w:tbl>
    <w:p/>
    <w:p>
      <w:bookmarkStart w:id="7" w:name="sec2_4"/>
      <w:pPr>
        <w:pStyle w:val="Heading2"/>
      </w:pPr>
      <w:r>
        <w:rPr>
          <w:rFonts w:ascii="Arial" w:hAnsi="Arial"/>
          <w:color w:val="45699E"/>
          <w:sz w:val="24"/>
        </w:rPr>
        <w:t>2.4 Marco regulatorio</w:t>
      </w:r>
      <w:bookmarkEnd w:id="7"/>
    </w:p>
    <w:tbl>
      <w:tblPr>
        <w:tblW w:type="auto" w:w="0"/>
        <w:jc w:val="left"/>
        <w:tblLook w:firstColumn="1" w:firstRow="1" w:lastColumn="0" w:lastRow="0" w:noHBand="0" w:noVBand="1" w:val="04A0"/>
      </w:tblPr>
      <w:tblGrid>
        <w:gridCol w:w="4536"/>
        <w:gridCol w:w="4536"/>
      </w:tblGrid>
      <w:tr>
        <w:tc>
          <w:tcPr>
            <w:tcW w:type="dxa" w:w="170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Regulación/Estándar</w:t>
            </w:r>
          </w:p>
        </w:tc>
        <w:tc>
          <w:tcPr>
            <w:tcW w:type="dxa" w:w="6633"/>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Ámbito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PSD2-SCA</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PSD2-AIS</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PCI-DSS</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GDPR</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SEPA</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SEPA-DD</w:t>
            </w:r>
          </w:p>
        </w:tc>
        <w:tc>
          <w:tcPr>
            <w:tcW w:type="dxa" w:w="6633"/>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AML-KYC</w:t>
            </w:r>
          </w:p>
        </w:tc>
        <w:tc>
          <w:tcPr>
            <w:tcW w:type="dxa" w:w="6633"/>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Ver funcionalidades afectadas</w:t>
            </w:r>
          </w:p>
        </w:tc>
      </w:tr>
    </w:tbl>
    <w:p>
      <w:r>
        <w:br w:type="page"/>
      </w:r>
    </w:p>
    <w:p>
      <w:bookmarkStart w:id="8" w:name="sec3"/>
      <w:pPr>
        <w:pStyle w:val="Heading1"/>
      </w:pPr>
      <w:r>
        <w:rPr>
          <w:rFonts w:ascii="Arial" w:hAnsi="Arial"/>
          <w:color w:val="1B3A6B"/>
          <w:sz w:val="28"/>
        </w:rPr>
        <w:t>3. ARQUITECTURA FUNCIONAL</w:t>
      </w:r>
      <w:bookmarkEnd w:id="8"/>
    </w:p>
    <w:p>
      <w:bookmarkStart w:id="9" w:name="sec3_1"/>
      <w:pPr>
        <w:pStyle w:val="Heading2"/>
      </w:pPr>
      <w:r>
        <w:rPr>
          <w:rFonts w:ascii="Arial" w:hAnsi="Arial"/>
          <w:color w:val="45699E"/>
          <w:sz w:val="24"/>
        </w:rPr>
        <w:t>3.1 Módulos del sistema</w:t>
      </w:r>
      <w:bookmarkEnd w:id="9"/>
    </w:p>
    <w:tbl>
      <w:tblPr>
        <w:tblW w:type="auto" w:w="0"/>
        <w:jc w:val="left"/>
        <w:tblLook w:firstColumn="1" w:firstRow="1" w:lastColumn="0" w:lastRow="0" w:noHBand="0" w:noVBand="1" w:val="04A0"/>
      </w:tblPr>
      <w:tblGrid>
        <w:gridCol w:w="1814"/>
        <w:gridCol w:w="1814"/>
        <w:gridCol w:w="1814"/>
        <w:gridCol w:w="1814"/>
        <w:gridCol w:w="1814"/>
      </w:tblGrid>
      <w:tr>
        <w:tc>
          <w:tcPr>
            <w:tcW w:type="dxa" w:w="170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Módulo</w:t>
            </w:r>
          </w:p>
        </w:tc>
        <w:tc>
          <w:tcPr>
            <w:tcW w:type="dxa" w:w="255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Features</w:t>
            </w:r>
          </w:p>
        </w:tc>
        <w:tc>
          <w:tcPr>
            <w:tcW w:type="dxa" w:w="141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Sprints</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FA count</w:t>
            </w:r>
          </w:p>
        </w:tc>
        <w:tc>
          <w:tcPr>
            <w:tcW w:type="dxa" w:w="153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Estado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Finanzas Personales (PFM)</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25</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7</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Objetivos de Ahorro (Savings)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26</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8</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account</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9</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4</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admin</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21</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audit</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FEAT-001, FEAT-018</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 1-2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authentication</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FEAT-001, FEAT-005, FEAT-006</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6, 7, 1-2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7</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bill</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11</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cards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18</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6</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dashboard</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FEAT-010, FEAT-011</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12, 13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6</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deposit</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6</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deposit-frontend</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directdebit</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DEBT-035, FEAT-017</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19, 20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5</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export</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export,card,loan,deposit</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DEBT-036+037+044</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export/cards</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frontend/loans</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general</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7</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kyc</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15</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loans</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5</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notification</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5+8</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4</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notifications</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FEAT-014, FEAT-017</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16, 19</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4</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privacy</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21</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profile</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FEAT-012, FEAT-019, FEAT-020</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14, 21, 22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8</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scheduled</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17</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session</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transfer</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10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ENTREGADO</w:t>
            </w:r>
          </w:p>
        </w:tc>
      </w:tr>
      <w:tr>
        <w:tc>
          <w:tcPr>
            <w:tcW w:type="dxa" w:w="170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trusteddevice</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3</w:t>
            </w:r>
          </w:p>
        </w:tc>
        <w:tc>
          <w:tcPr>
            <w:tcW w:type="dxa" w:w="153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ENTREGADO</w:t>
            </w:r>
          </w:p>
        </w:tc>
      </w:tr>
    </w:tbl>
    <w:p/>
    <w:p>
      <w:bookmarkStart w:id="10" w:name="sec3_2"/>
      <w:pPr>
        <w:pStyle w:val="Heading2"/>
      </w:pPr>
      <w:r>
        <w:rPr>
          <w:rFonts w:ascii="Arial" w:hAnsi="Arial"/>
          <w:color w:val="45699E"/>
          <w:sz w:val="24"/>
        </w:rPr>
        <w:t>3.2 Mapa de dependencias</w:t>
      </w:r>
      <w:bookmarkEnd w:id="10"/>
    </w:p>
    <w:p>
      <w:r>
        <w:rPr>
          <w:rFonts w:ascii="Arial" w:hAnsi="Arial"/>
          <w:i w:val="0"/>
          <w:color w:val="333333"/>
          <w:sz w:val="20"/>
        </w:rPr>
        <w:t>Las dependencias entre módulos se documentan en los documentos de arquitectura (HLD/LLD) de cada sprint. El flujo general sigue Clean Architecture / Onion con separación estricta entre Domain, Application e Infrastructure.</w:t>
      </w:r>
    </w:p>
    <w:p>
      <w:r>
        <w:br w:type="page"/>
      </w:r>
    </w:p>
    <w:p>
      <w:bookmarkStart w:id="11" w:name="sec4"/>
      <w:pPr>
        <w:pStyle w:val="Heading1"/>
      </w:pPr>
      <w:r>
        <w:rPr>
          <w:rFonts w:ascii="Arial" w:hAnsi="Arial"/>
          <w:color w:val="1B3A6B"/>
          <w:sz w:val="28"/>
        </w:rPr>
        <w:t>4. CATÁLOGO DE FUNCIONALIDADES</w:t>
      </w:r>
      <w:bookmarkEnd w:id="11"/>
    </w:p>
    <w:p>
      <w:r>
        <w:rPr>
          <w:rFonts w:ascii="Arial" w:hAnsi="Arial"/>
          <w:i w:val="0"/>
          <w:color w:val="333333"/>
          <w:sz w:val="20"/>
        </w:rPr>
        <w:t>Catálogo acumulativo de 108 funcionalidades distribuidas en 26 sprint(s). Se documenta el comportamiento funcional en lenguaje de negocio.</w:t>
      </w:r>
    </w:p>
    <w:p>
      <w:bookmarkStart w:id="12" w:name="sprint_1-2"/>
      <w:pPr>
        <w:pStyle w:val="Heading2"/>
      </w:pPr>
      <w:r>
        <w:rPr>
          <w:rFonts w:ascii="Arial" w:hAnsi="Arial"/>
          <w:color w:val="45699E"/>
          <w:sz w:val="24"/>
        </w:rPr>
        <w:t>4.1  Sprint 1-2 — FEAT-001</w:t>
      </w:r>
      <w:bookmarkEnd w:id="12"/>
    </w:p>
    <w:p>
      <w:r>
        <w:rPr>
          <w:rFonts w:ascii="Arial" w:hAnsi="Arial"/>
          <w:i/>
          <w:color w:val="B45309"/>
          <w:sz w:val="16"/>
        </w:rPr>
        <w:t>Evidencia: RECONSTRUIDO</w:t>
      </w:r>
    </w:p>
    <w:p>
      <w:pPr>
        <w:pStyle w:val="Heading3"/>
      </w:pPr>
      <w:r>
        <w:rPr>
          <w:rFonts w:ascii="Arial" w:hAnsi="Arial"/>
          <w:color w:val="C84A14"/>
          <w:sz w:val="22"/>
        </w:rPr>
        <w:t>FA-001-A — Registro y Activación del Segundo Factor TOTP</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[RN-F001-01] El secreto TOTP se almacena siempre cifrado (AES-256-CBC); nunca en claro</w:t>
      </w:r>
    </w:p>
    <w:p>
      <w:pPr>
        <w:pStyle w:val="ListBullet"/>
        <w:ind w:left="283"/>
      </w:pPr>
      <w:r>
        <w:rPr>
          <w:rFonts w:ascii="Arial" w:hAnsi="Arial"/>
          <w:color w:val="333333"/>
          <w:sz w:val="18"/>
        </w:rPr>
        <w:t>[RN-F001-02] El OTP es válido durante 30 segundos; se admite un margen de ±1 período</w:t>
      </w:r>
    </w:p>
    <w:p>
      <w:pPr>
        <w:pStyle w:val="Heading3"/>
      </w:pPr>
      <w:r>
        <w:rPr>
          <w:rFonts w:ascii="Arial" w:hAnsi="Arial"/>
          <w:color w:val="C84A14"/>
          <w:sz w:val="22"/>
        </w:rPr>
        <w:t>FA-001-B — Códigos de Recuperación 2FA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[RN-F001-03] Los códigos de recuperación se almacenan hasheados con BCrypt (cost=10); nunca en claro</w:t>
      </w:r>
    </w:p>
    <w:p>
      <w:pPr>
        <w:pStyle w:val="ListBullet"/>
        <w:ind w:left="283"/>
      </w:pPr>
      <w:r>
        <w:rPr>
          <w:rFonts w:ascii="Arial" w:hAnsi="Arial"/>
          <w:color w:val="333333"/>
          <w:sz w:val="18"/>
        </w:rPr>
        <w:t>[RN-F001-04] Cada código de recuperación solo puede usarse una única vez</w:t>
      </w:r>
    </w:p>
    <w:p>
      <w:pPr>
        <w:pStyle w:val="Heading3"/>
      </w:pPr>
      <w:r>
        <w:rPr>
          <w:rFonts w:ascii="Arial" w:hAnsi="Arial"/>
          <w:color w:val="C84A14"/>
          <w:sz w:val="22"/>
        </w:rPr>
        <w:t>FA-001-C — Registro de Auditoría Inmutable de Autenticación</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[RN-F001-05] El audit_log es inmutable: no se permiten UPDATE ni DELETE</w:t>
      </w:r>
    </w:p>
    <w:p>
      <w:pPr>
        <w:pStyle w:val="ListBullet"/>
        <w:ind w:left="283"/>
      </w:pPr>
      <w:r>
        <w:rPr>
          <w:rFonts w:ascii="Arial" w:hAnsi="Arial"/>
          <w:color w:val="333333"/>
          <w:sz w:val="18"/>
        </w:rPr>
        <w:t>[RN-F001-06] Los registros incluyen siempre IP, user-agent, timestamp UTC y resultado (SUCCESS/FAILURE/BLOCKED)</w:t>
      </w:r>
    </w:p>
    <w:p>
      <w:r>
        <w:br w:type="page"/>
      </w:r>
    </w:p>
    <w:p>
      <w:bookmarkStart w:id="13" w:name="sprint_3"/>
      <w:pPr>
        <w:pStyle w:val="Heading2"/>
      </w:pPr>
      <w:r>
        <w:rPr>
          <w:rFonts w:ascii="Arial" w:hAnsi="Arial"/>
          <w:color w:val="45699E"/>
          <w:sz w:val="24"/>
        </w:rPr>
        <w:t>4.2  Sprint 3 — FEAT-002</w:t>
      </w:r>
      <w:bookmarkEnd w:id="13"/>
    </w:p>
    <w:p>
      <w:r>
        <w:rPr>
          <w:rFonts w:ascii="Arial" w:hAnsi="Arial"/>
          <w:i/>
          <w:color w:val="B45309"/>
          <w:sz w:val="16"/>
        </w:rPr>
        <w:t>Evidencia: RECONSTRUIDO</w:t>
      </w:r>
    </w:p>
    <w:p>
      <w:pPr>
        <w:pStyle w:val="Heading3"/>
      </w:pPr>
      <w:r>
        <w:rPr>
          <w:rFonts w:ascii="Arial" w:hAnsi="Arial"/>
          <w:color w:val="C84A14"/>
          <w:sz w:val="22"/>
        </w:rPr>
        <w:t>FA-002-A — Consulta de Sesiones Activas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[RN-F002-01] Las direcciones IP se muestran enmascaradas en la consulta de sesiones</w:t>
      </w:r>
    </w:p>
    <w:p>
      <w:pPr>
        <w:pStyle w:val="ListBullet"/>
        <w:ind w:left="283"/>
      </w:pPr>
      <w:r>
        <w:rPr>
          <w:rFonts w:ascii="Arial" w:hAnsi="Arial"/>
          <w:color w:val="333333"/>
          <w:sz w:val="18"/>
        </w:rPr>
        <w:t>[RN-F002-02] El token de sesión nunca se almacena en claro; solo su hash SHA-256</w:t>
      </w:r>
    </w:p>
    <w:p>
      <w:pPr>
        <w:pStyle w:val="Heading3"/>
      </w:pPr>
      <w:r>
        <w:rPr>
          <w:rFonts w:ascii="Arial" w:hAnsi="Arial"/>
          <w:color w:val="C84A14"/>
          <w:sz w:val="22"/>
        </w:rPr>
        <w:t>FA-002-B — Cierre Remoto de Sesión</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[RN-F002-03] El cierre remoto de sesión es irreversible e inmediato</w:t>
      </w:r>
    </w:p>
    <w:p>
      <w:pPr>
        <w:pStyle w:val="ListBullet"/>
        <w:ind w:left="283"/>
      </w:pPr>
      <w:r>
        <w:rPr>
          <w:rFonts w:ascii="Arial" w:hAnsi="Arial"/>
          <w:color w:val="333333"/>
          <w:sz w:val="18"/>
        </w:rPr>
        <w:t>[RN-F002-04] El cliente puede cerrar todas las sesiones excepto la propia</w:t>
      </w:r>
    </w:p>
    <w:p>
      <w:pPr>
        <w:pStyle w:val="Heading3"/>
      </w:pPr>
      <w:r>
        <w:rPr>
          <w:rFonts w:ascii="Arial" w:hAnsi="Arial"/>
          <w:color w:val="C84A14"/>
          <w:sz w:val="22"/>
        </w:rPr>
        <w:t>FA-002-C — Invalidación de Sesión por Enlace de Email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[RN-F002-05] El enlace de denegación de sesión es de un solo uso con TTL de 1 hora</w:t>
      </w:r>
    </w:p>
    <w:p>
      <w:pPr>
        <w:pStyle w:val="ListBullet"/>
        <w:ind w:left="283"/>
      </w:pPr>
      <w:r>
        <w:rPr>
          <w:rFonts w:ascii="Arial" w:hAnsi="Arial"/>
          <w:color w:val="333333"/>
          <w:sz w:val="18"/>
        </w:rPr>
        <w:t>[RN-F002-06] El timeout de sesión por inactividad es configurable entre 5 y 60 minutos (máx. PCI-DSS)</w:t>
      </w:r>
    </w:p>
    <w:p>
      <w:r>
        <w:br w:type="page"/>
      </w:r>
    </w:p>
    <w:p>
      <w:bookmarkStart w:id="14" w:name="sprint_4"/>
      <w:pPr>
        <w:pStyle w:val="Heading2"/>
      </w:pPr>
      <w:r>
        <w:rPr>
          <w:rFonts w:ascii="Arial" w:hAnsi="Arial"/>
          <w:color w:val="45699E"/>
          <w:sz w:val="24"/>
        </w:rPr>
        <w:t>4.3  Sprint 4 — FEAT-003</w:t>
      </w:r>
      <w:bookmarkEnd w:id="14"/>
    </w:p>
    <w:p>
      <w:r>
        <w:rPr>
          <w:rFonts w:ascii="Arial" w:hAnsi="Arial"/>
          <w:i/>
          <w:color w:val="B45309"/>
          <w:sz w:val="16"/>
        </w:rPr>
        <w:t>Evidencia: RECONSTRUIDO</w:t>
      </w:r>
    </w:p>
    <w:p>
      <w:pPr>
        <w:pStyle w:val="Heading3"/>
      </w:pPr>
      <w:r>
        <w:rPr>
          <w:rFonts w:ascii="Arial" w:hAnsi="Arial"/>
          <w:color w:val="C84A14"/>
          <w:sz w:val="22"/>
        </w:rPr>
        <w:t>FA-003-A — Registro de Dispositivo de Confianza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[RN-F003-01] El token de confianza se almacena como cookie HttpOnly; nunca en localStorage</w:t>
      </w:r>
    </w:p>
    <w:p>
      <w:pPr>
        <w:pStyle w:val="ListBullet"/>
        <w:ind w:left="283"/>
      </w:pPr>
      <w:r>
        <w:rPr>
          <w:rFonts w:ascii="Arial" w:hAnsi="Arial"/>
          <w:color w:val="333333"/>
          <w:sz w:val="18"/>
        </w:rPr>
        <w:t>[RN-F003-02] El token de confianza expira a los 30 días; se renueva en cada uso</w:t>
      </w:r>
    </w:p>
    <w:p>
      <w:pPr>
        <w:pStyle w:val="ListBullet"/>
        <w:ind w:left="283"/>
      </w:pPr>
      <w:r>
        <w:rPr>
          <w:rFonts w:ascii="Arial" w:hAnsi="Arial"/>
          <w:color w:val="333333"/>
          <w:sz w:val="18"/>
        </w:rPr>
        <w:t>[RN-F003-03] Si el dispositivo cambia de red sustancialmente se requiere re-verificación con OTP</w:t>
      </w:r>
    </w:p>
    <w:p>
      <w:pPr>
        <w:pStyle w:val="Heading3"/>
      </w:pPr>
      <w:r>
        <w:rPr>
          <w:rFonts w:ascii="Arial" w:hAnsi="Arial"/>
          <w:color w:val="C84A14"/>
          <w:sz w:val="22"/>
        </w:rPr>
        <w:t>FA-003-B — Login sin OTP desde Dispositivo de Confianza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[RN-F003-04] Un usuario puede tener máximo 5 dispositivos de confianza activos simultáneamente</w:t>
      </w:r>
    </w:p>
    <w:p>
      <w:pPr>
        <w:pStyle w:val="Heading3"/>
      </w:pPr>
      <w:r>
        <w:rPr>
          <w:rFonts w:ascii="Arial" w:hAnsi="Arial"/>
          <w:color w:val="C84A14"/>
          <w:sz w:val="22"/>
        </w:rPr>
        <w:t>FA-003-C — Revocación de Dispositivos de Confianza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[RN-F003-05] Un dispositivo revocado debe completar OTP en el siguiente login</w:t>
      </w:r>
    </w:p>
    <w:p>
      <w:pPr>
        <w:pStyle w:val="ListBullet"/>
        <w:ind w:left="283"/>
      </w:pPr>
      <w:r>
        <w:rPr>
          <w:rFonts w:ascii="Arial" w:hAnsi="Arial"/>
          <w:color w:val="333333"/>
          <w:sz w:val="18"/>
        </w:rPr>
        <w:t>[RN-F003-06] El cliente puede revocar todos sus dispositivos de confianza con una única acción</w:t>
      </w:r>
    </w:p>
    <w:p>
      <w:r>
        <w:br w:type="page"/>
      </w:r>
    </w:p>
    <w:p>
      <w:bookmarkStart w:id="15" w:name="sprint_6"/>
      <w:pPr>
        <w:pStyle w:val="Heading2"/>
      </w:pPr>
      <w:r>
        <w:rPr>
          <w:rFonts w:ascii="Arial" w:hAnsi="Arial"/>
          <w:color w:val="45699E"/>
          <w:sz w:val="24"/>
        </w:rPr>
        <w:t>4.4  Sprint 6 — FEAT-005</w:t>
      </w:r>
      <w:bookmarkEnd w:id="15"/>
    </w:p>
    <w:p>
      <w:r>
        <w:rPr>
          <w:rFonts w:ascii="Arial" w:hAnsi="Arial"/>
          <w:i/>
          <w:color w:val="B45309"/>
          <w:sz w:val="16"/>
        </w:rPr>
        <w:t>Evidencia: RECONSTRUIDO</w:t>
      </w:r>
    </w:p>
    <w:p>
      <w:pPr>
        <w:pStyle w:val="Heading3"/>
      </w:pPr>
      <w:r>
        <w:rPr>
          <w:rFonts w:ascii="Arial" w:hAnsi="Arial"/>
          <w:color w:val="C84A14"/>
          <w:sz w:val="22"/>
        </w:rPr>
        <w:t>FA-005-A — Notificaciones de Seguridad en Tiempo Real (SSE)</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[RN-F005-01] El canal SSE se cierra automáticamente si la sesión expira</w:t>
      </w:r>
    </w:p>
    <w:p>
      <w:pPr>
        <w:pStyle w:val="ListBullet"/>
        <w:ind w:left="283"/>
      </w:pPr>
      <w:r>
        <w:rPr>
          <w:rFonts w:ascii="Arial" w:hAnsi="Arial"/>
          <w:color w:val="333333"/>
          <w:sz w:val="18"/>
        </w:rPr>
        <w:t>[RN-F005-02] El sistema soporta máximo 500 conexiones SSE simultáneas</w:t>
      </w:r>
    </w:p>
    <w:p>
      <w:pPr>
        <w:pStyle w:val="Heading3"/>
      </w:pPr>
      <w:r>
        <w:rPr>
          <w:rFonts w:ascii="Arial" w:hAnsi="Arial"/>
          <w:color w:val="C84A14"/>
          <w:sz w:val="22"/>
        </w:rPr>
        <w:t>FA-005-B — Detección de Login desde Contexto Inusual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[RN-F005-03] Una subred se considera conocida solo tras ser confirmada explícitamente por el cliente</w:t>
      </w:r>
    </w:p>
    <w:p>
      <w:pPr>
        <w:pStyle w:val="ListBullet"/>
        <w:ind w:left="283"/>
      </w:pPr>
      <w:r>
        <w:rPr>
          <w:rFonts w:ascii="Arial" w:hAnsi="Arial"/>
          <w:color w:val="333333"/>
          <w:sz w:val="18"/>
        </w:rPr>
        <w:t>[RN-F005-04] Los logins desde subredes desconocidas siempre generan notificación</w:t>
      </w:r>
    </w:p>
    <w:p>
      <w:r>
        <w:br w:type="page"/>
      </w:r>
    </w:p>
    <w:p>
      <w:bookmarkStart w:id="16" w:name="sprint_7"/>
      <w:pPr>
        <w:pStyle w:val="Heading2"/>
      </w:pPr>
      <w:r>
        <w:rPr>
          <w:rFonts w:ascii="Arial" w:hAnsi="Arial"/>
          <w:color w:val="45699E"/>
          <w:sz w:val="24"/>
        </w:rPr>
        <w:t>4.5  Sprint 7 — FEAT-006</w:t>
      </w:r>
      <w:bookmarkEnd w:id="16"/>
    </w:p>
    <w:p>
      <w:r>
        <w:rPr>
          <w:rFonts w:ascii="Arial" w:hAnsi="Arial"/>
          <w:i/>
          <w:color w:val="B45309"/>
          <w:sz w:val="16"/>
        </w:rPr>
        <w:t>Evidencia: RECONSTRUIDO</w:t>
      </w:r>
    </w:p>
    <w:p>
      <w:pPr>
        <w:pStyle w:val="Heading3"/>
      </w:pPr>
      <w:r>
        <w:rPr>
          <w:rFonts w:ascii="Arial" w:hAnsi="Arial"/>
          <w:color w:val="C84A14"/>
          <w:sz w:val="22"/>
        </w:rPr>
        <w:t>FA-006-A — Bloqueo Automático de Cuenta por Intentos Fallidos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[RN-F006-01] El contador de intentos fallidos se resetea al hacer login exitoso o al desbloquear</w:t>
      </w:r>
    </w:p>
    <w:p>
      <w:pPr>
        <w:pStyle w:val="ListBullet"/>
        <w:ind w:left="283"/>
      </w:pPr>
      <w:r>
        <w:rPr>
          <w:rFonts w:ascii="Arial" w:hAnsi="Arial"/>
          <w:color w:val="333333"/>
          <w:sz w:val="18"/>
        </w:rPr>
        <w:t>[RN-F006-02] La cuenta bloqueada no puede acceder a ningún servicio de BankPortal hasta ser desbloqueada</w:t>
      </w:r>
    </w:p>
    <w:p>
      <w:pPr>
        <w:pStyle w:val="Heading3"/>
      </w:pPr>
      <w:r>
        <w:rPr>
          <w:rFonts w:ascii="Arial" w:hAnsi="Arial"/>
          <w:color w:val="C84A14"/>
          <w:sz w:val="22"/>
        </w:rPr>
        <w:t>FA-006-B — Desbloqueo de Cuenta por Email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[RN-F006-03] El token de desbloqueo por email es de único uso y expira en 1 hora</w:t>
      </w:r>
    </w:p>
    <w:p>
      <w:pPr>
        <w:pStyle w:val="ListBullet"/>
        <w:ind w:left="283"/>
      </w:pPr>
      <w:r>
        <w:rPr>
          <w:rFonts w:ascii="Arial" w:hAnsi="Arial"/>
          <w:color w:val="333333"/>
          <w:sz w:val="18"/>
        </w:rPr>
        <w:t>[RN-F006-04] El desbloqueo por email no requiere que el cliente recuerde su contraseña</w:t>
      </w:r>
    </w:p>
    <w:p>
      <w:pPr>
        <w:pStyle w:val="Heading3"/>
      </w:pPr>
      <w:r>
        <w:rPr>
          <w:rFonts w:ascii="Arial" w:hAnsi="Arial"/>
          <w:color w:val="C84A14"/>
          <w:sz w:val="22"/>
        </w:rPr>
        <w:t>FA-006-C — Autenticación Contextual por Subred IP</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[RN-F006-05] Las alertas de acceso desde ubicación inusual no pueden desactivarse por preferencias del cliente</w:t>
      </w:r>
    </w:p>
    <w:p>
      <w:r>
        <w:br w:type="page"/>
      </w:r>
    </w:p>
    <w:p>
      <w:bookmarkStart w:id="17" w:name="sprint_9"/>
      <w:pPr>
        <w:pStyle w:val="Heading2"/>
      </w:pPr>
      <w:r>
        <w:rPr>
          <w:rFonts w:ascii="Arial" w:hAnsi="Arial"/>
          <w:color w:val="45699E"/>
          <w:sz w:val="24"/>
        </w:rPr>
        <w:t>4.6  Sprint 9 — FEAT-007</w:t>
      </w:r>
      <w:bookmarkEnd w:id="17"/>
    </w:p>
    <w:p>
      <w:r>
        <w:rPr>
          <w:rFonts w:ascii="Arial" w:hAnsi="Arial"/>
          <w:i/>
          <w:color w:val="B45309"/>
          <w:sz w:val="16"/>
        </w:rPr>
        <w:t>Evidencia: RECONSTRUIDO</w:t>
      </w:r>
    </w:p>
    <w:p>
      <w:pPr>
        <w:pStyle w:val="Heading3"/>
      </w:pPr>
      <w:r>
        <w:rPr>
          <w:rFonts w:ascii="Arial" w:hAnsi="Arial"/>
          <w:color w:val="C84A14"/>
          <w:sz w:val="22"/>
        </w:rPr>
        <w:t>FA-007-A — Consulta de Cuentas y Saldos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[RN-F007-01] El saldo disponible y el saldo retenido se muestran siempre separados</w:t>
      </w:r>
    </w:p>
    <w:p>
      <w:pPr>
        <w:pStyle w:val="ListBullet"/>
        <w:ind w:left="283"/>
      </w:pPr>
      <w:r>
        <w:rPr>
          <w:rFonts w:ascii="Arial" w:hAnsi="Arial"/>
          <w:color w:val="333333"/>
          <w:sz w:val="18"/>
        </w:rPr>
        <w:t>[RN-F007-02] El IBAN se muestra en formato estándar europeo (ES + 22 dígitos)</w:t>
      </w:r>
    </w:p>
    <w:p>
      <w:pPr>
        <w:pStyle w:val="Heading3"/>
      </w:pPr>
      <w:r>
        <w:rPr>
          <w:rFonts w:ascii="Arial" w:hAnsi="Arial"/>
          <w:color w:val="C84A14"/>
          <w:sz w:val="22"/>
        </w:rPr>
        <w:t>FA-007-B — Historial de Movimientos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[RN-F007-03] Los movimientos negativos son cargos; los positivos son abonos</w:t>
      </w:r>
    </w:p>
    <w:p>
      <w:pPr>
        <w:pStyle w:val="ListBullet"/>
        <w:ind w:left="283"/>
      </w:pPr>
      <w:r>
        <w:rPr>
          <w:rFonts w:ascii="Arial" w:hAnsi="Arial"/>
          <w:color w:val="333333"/>
          <w:sz w:val="18"/>
        </w:rPr>
        <w:t>[RN-F007-04] El historial disponible cubre al menos los últimos 13 meses (normativa EU)</w:t>
      </w:r>
    </w:p>
    <w:p>
      <w:pPr>
        <w:pStyle w:val="Heading3"/>
      </w:pPr>
      <w:r>
        <w:rPr>
          <w:rFonts w:ascii="Arial" w:hAnsi="Arial"/>
          <w:color w:val="C84A14"/>
          <w:sz w:val="22"/>
        </w:rPr>
        <w:t>FA-007-C — Búsqueda por Concepto de Movimiento</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[RN-F007-05] La búsqueda por concepto opera sobre los últimos 13 meses de movimientos</w:t>
      </w:r>
    </w:p>
    <w:p>
      <w:pPr>
        <w:pStyle w:val="Heading3"/>
      </w:pPr>
      <w:r>
        <w:rPr>
          <w:rFonts w:ascii="Arial" w:hAnsi="Arial"/>
          <w:color w:val="C84A14"/>
          <w:sz w:val="22"/>
        </w:rPr>
        <w:t>FA-007-D — Categorización Automática de Gastos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[RN-F007-06] La categorización es automática; el cliente puede corregirla manualmente</w:t>
      </w:r>
    </w:p>
    <w:p>
      <w:r>
        <w:br w:type="page"/>
      </w:r>
    </w:p>
    <w:p>
      <w:bookmarkStart w:id="18" w:name="sprint_10"/>
      <w:pPr>
        <w:pStyle w:val="Heading2"/>
      </w:pPr>
      <w:r>
        <w:rPr>
          <w:rFonts w:ascii="Arial" w:hAnsi="Arial"/>
          <w:color w:val="45699E"/>
          <w:sz w:val="24"/>
        </w:rPr>
        <w:t>4.7  Sprint 10 — FEAT-008</w:t>
      </w:r>
      <w:bookmarkEnd w:id="18"/>
    </w:p>
    <w:p>
      <w:r>
        <w:rPr>
          <w:rFonts w:ascii="Arial" w:hAnsi="Arial"/>
          <w:i/>
          <w:color w:val="B45309"/>
          <w:sz w:val="16"/>
        </w:rPr>
        <w:t>Evidencia: RECONSTRUIDO</w:t>
      </w:r>
    </w:p>
    <w:p>
      <w:pPr>
        <w:pStyle w:val="Heading3"/>
      </w:pPr>
      <w:r>
        <w:rPr>
          <w:rFonts w:ascii="Arial" w:hAnsi="Arial"/>
          <w:color w:val="C84A14"/>
          <w:sz w:val="22"/>
        </w:rPr>
        <w:t>FA-008-A — Transferencia Bancaria Inmediata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[RN-F008-01] El importe se opera siempre en precisión DECIMAL(15,2); nunca con punto flotante</w:t>
      </w:r>
    </w:p>
    <w:p>
      <w:pPr>
        <w:pStyle w:val="ListBullet"/>
        <w:ind w:left="283"/>
      </w:pPr>
      <w:r>
        <w:rPr>
          <w:rFonts w:ascii="Arial" w:hAnsi="Arial"/>
          <w:color w:val="333333"/>
          <w:sz w:val="18"/>
        </w:rPr>
        <w:t>[RN-F008-02] Las transferencias que superan el límite por operación requieren 2FA (SCA)</w:t>
      </w:r>
    </w:p>
    <w:p>
      <w:pPr>
        <w:pStyle w:val="ListBullet"/>
        <w:ind w:left="283"/>
      </w:pPr>
      <w:r>
        <w:rPr>
          <w:rFonts w:ascii="Arial" w:hAnsi="Arial"/>
          <w:color w:val="333333"/>
          <w:sz w:val="18"/>
        </w:rPr>
        <w:t>[RN-F008-03] Límite por operación: 2.000€; límite diario: 3.000€; límite mensual: 10.000€ (configurables por el banco)</w:t>
      </w:r>
    </w:p>
    <w:p>
      <w:pPr>
        <w:pStyle w:val="Heading3"/>
      </w:pPr>
      <w:r>
        <w:rPr>
          <w:rFonts w:ascii="Arial" w:hAnsi="Arial"/>
          <w:color w:val="C84A14"/>
          <w:sz w:val="22"/>
        </w:rPr>
        <w:t>FA-008-B — Libreta de Beneficiarios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[RN-F008-04] Un cliente no puede tener dos beneficiarios activos con el mismo IBAN</w:t>
      </w:r>
    </w:p>
    <w:p>
      <w:pPr>
        <w:pStyle w:val="ListBullet"/>
        <w:ind w:left="283"/>
      </w:pPr>
      <w:r>
        <w:rPr>
          <w:rFonts w:ascii="Arial" w:hAnsi="Arial"/>
          <w:color w:val="333333"/>
          <w:sz w:val="18"/>
        </w:rPr>
        <w:t>[RN-F008-05] La baja de un beneficiario es soft delete; el historial de transferencias se conserva</w:t>
      </w:r>
    </w:p>
    <w:p>
      <w:pPr>
        <w:pStyle w:val="Heading3"/>
      </w:pPr>
      <w:r>
        <w:rPr>
          <w:rFonts w:ascii="Arial" w:hAnsi="Arial"/>
          <w:color w:val="C84A14"/>
          <w:sz w:val="22"/>
        </w:rPr>
        <w:t>FA-008-C — Límites de Transferencia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[RN-F008-06] Los límites de transferencia son establecidos por el banco; el cliente no puede modificarlos</w:t>
      </w:r>
    </w:p>
    <w:p>
      <w:pPr>
        <w:pStyle w:val="ListBullet"/>
        <w:ind w:left="283"/>
      </w:pPr>
      <w:r>
        <w:rPr>
          <w:rFonts w:ascii="Arial" w:hAnsi="Arial"/>
          <w:color w:val="333333"/>
          <w:sz w:val="18"/>
        </w:rPr>
        <w:t>[RN-F008-07] El acumulado diario se calcula en UTC y se resetea a medianoche</w:t>
      </w:r>
    </w:p>
    <w:p>
      <w:r>
        <w:br w:type="page"/>
      </w:r>
    </w:p>
    <w:p>
      <w:bookmarkStart w:id="19" w:name="sprint_11"/>
      <w:pPr>
        <w:pStyle w:val="Heading2"/>
      </w:pPr>
      <w:r>
        <w:rPr>
          <w:rFonts w:ascii="Arial" w:hAnsi="Arial"/>
          <w:color w:val="45699E"/>
          <w:sz w:val="24"/>
        </w:rPr>
        <w:t>4.8  Sprint 11 — FEAT-009</w:t>
      </w:r>
      <w:bookmarkEnd w:id="19"/>
    </w:p>
    <w:p>
      <w:r>
        <w:rPr>
          <w:rFonts w:ascii="Arial" w:hAnsi="Arial"/>
          <w:i/>
          <w:color w:val="B45309"/>
          <w:sz w:val="16"/>
        </w:rPr>
        <w:t>Evidencia: RECONSTRUIDO</w:t>
      </w:r>
    </w:p>
    <w:p>
      <w:pPr>
        <w:pStyle w:val="Heading3"/>
      </w:pPr>
      <w:r>
        <w:rPr>
          <w:rFonts w:ascii="Arial" w:hAnsi="Arial"/>
          <w:color w:val="C84A14"/>
          <w:sz w:val="22"/>
        </w:rPr>
        <w:t>FA-009-A — Consulta de Recibos Pendientes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[RN-F009-01] Los recibos se muestran ordenados por fecha de vencimiento (más próximos primero)</w:t>
      </w:r>
    </w:p>
    <w:p>
      <w:pPr>
        <w:pStyle w:val="ListBullet"/>
        <w:ind w:left="283"/>
      </w:pPr>
      <w:r>
        <w:rPr>
          <w:rFonts w:ascii="Arial" w:hAnsi="Arial"/>
          <w:color w:val="333333"/>
          <w:sz w:val="18"/>
        </w:rPr>
        <w:t>[RN-F009-02] Un recibo en estado CANCELLED no puede volver a pagarse</w:t>
      </w:r>
    </w:p>
    <w:p>
      <w:pPr>
        <w:pStyle w:val="Heading3"/>
      </w:pPr>
      <w:r>
        <w:rPr>
          <w:rFonts w:ascii="Arial" w:hAnsi="Arial"/>
          <w:color w:val="C84A14"/>
          <w:sz w:val="22"/>
        </w:rPr>
        <w:t>FA-009-B — Pago de Recibo Domiciliado</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[RN-F009-03] El pago de un recibo requiere saldo disponible suficiente en la cuenta origen</w:t>
      </w:r>
    </w:p>
    <w:p>
      <w:pPr>
        <w:pStyle w:val="ListBullet"/>
        <w:ind w:left="283"/>
      </w:pPr>
      <w:r>
        <w:rPr>
          <w:rFonts w:ascii="Arial" w:hAnsi="Arial"/>
          <w:color w:val="333333"/>
          <w:sz w:val="18"/>
        </w:rPr>
        <w:t>[RN-F009-04] El cliente puede elegir la cuenta cargo entre sus cuentas activas</w:t>
      </w:r>
    </w:p>
    <w:p>
      <w:pPr>
        <w:pStyle w:val="Heading3"/>
      </w:pPr>
      <w:r>
        <w:rPr>
          <w:rFonts w:ascii="Arial" w:hAnsi="Arial"/>
          <w:color w:val="C84A14"/>
          <w:sz w:val="22"/>
        </w:rPr>
        <w:t>FA-009-C — Pago Ad-hoc por Referencia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[RN-F009-05] El número de referencia del pago ad-hoc se comunica al emisor para conciliación</w:t>
      </w:r>
    </w:p>
    <w:p>
      <w:r>
        <w:br w:type="page"/>
      </w:r>
    </w:p>
    <w:p>
      <w:bookmarkStart w:id="20" w:name="sprint_12"/>
      <w:pPr>
        <w:pStyle w:val="Heading2"/>
      </w:pPr>
      <w:r>
        <w:rPr>
          <w:rFonts w:ascii="Arial" w:hAnsi="Arial"/>
          <w:color w:val="45699E"/>
          <w:sz w:val="24"/>
        </w:rPr>
        <w:t>4.9  Sprint 12 — FEAT-010</w:t>
      </w:r>
      <w:bookmarkEnd w:id="20"/>
    </w:p>
    <w:p>
      <w:r>
        <w:rPr>
          <w:rFonts w:ascii="Arial" w:hAnsi="Arial"/>
          <w:i/>
          <w:color w:val="B45309"/>
          <w:sz w:val="16"/>
        </w:rPr>
        <w:t>Evidencia: RECONSTRUIDO</w:t>
      </w:r>
    </w:p>
    <w:p>
      <w:pPr>
        <w:pStyle w:val="Heading3"/>
      </w:pPr>
      <w:r>
        <w:rPr>
          <w:rFonts w:ascii="Arial" w:hAnsi="Arial"/>
          <w:color w:val="C84A14"/>
          <w:sz w:val="22"/>
        </w:rPr>
        <w:t>FA-010-A — Resumen de Gastos por Categoría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[RN-F010-01] Los gastos categorizados se calculan de forma asíncrona con un desfase máximo de 5 minutos</w:t>
      </w:r>
    </w:p>
    <w:p>
      <w:pPr>
        <w:pStyle w:val="ListBullet"/>
        <w:ind w:left="283"/>
      </w:pPr>
      <w:r>
        <w:rPr>
          <w:rFonts w:ascii="Arial" w:hAnsi="Arial"/>
          <w:color w:val="333333"/>
          <w:sz w:val="18"/>
        </w:rPr>
        <w:t>[RN-F010-02] Los movimientos sin categoría aparecen en la categoría 'Otros'</w:t>
      </w:r>
    </w:p>
    <w:p>
      <w:pPr>
        <w:pStyle w:val="Heading3"/>
      </w:pPr>
      <w:r>
        <w:rPr>
          <w:rFonts w:ascii="Arial" w:hAnsi="Arial"/>
          <w:color w:val="C84A14"/>
          <w:sz w:val="22"/>
        </w:rPr>
        <w:t>FA-010-B — Evolución Mensual de Gastos e Ingresos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[RN-F010-03] La comparativa mensual cubre los últimos 12 períodos completos</w:t>
      </w:r>
    </w:p>
    <w:p>
      <w:pPr>
        <w:pStyle w:val="Heading3"/>
      </w:pPr>
      <w:r>
        <w:rPr>
          <w:rFonts w:ascii="Arial" w:hAnsi="Arial"/>
          <w:color w:val="C84A14"/>
          <w:sz w:val="22"/>
        </w:rPr>
        <w:t>FA-010-C — Alertas de Presupuesto Mensual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[RN-F010-04] El presupuesto mensual es establecido por el cliente; no tiene valor predeterminado</w:t>
      </w:r>
    </w:p>
    <w:p>
      <w:pPr>
        <w:pStyle w:val="ListBullet"/>
        <w:ind w:left="283"/>
      </w:pPr>
      <w:r>
        <w:rPr>
          <w:rFonts w:ascii="Arial" w:hAnsi="Arial"/>
          <w:color w:val="333333"/>
          <w:sz w:val="18"/>
        </w:rPr>
        <w:t>[RN-F010-05] Solo se genera una alerta de presupuesto por período y umbral (sin repeticiones)</w:t>
      </w:r>
    </w:p>
    <w:p>
      <w:r>
        <w:br w:type="page"/>
      </w:r>
    </w:p>
    <w:p>
      <w:bookmarkStart w:id="21" w:name="sprint_13"/>
      <w:pPr>
        <w:pStyle w:val="Heading2"/>
      </w:pPr>
      <w:r>
        <w:rPr>
          <w:rFonts w:ascii="Arial" w:hAnsi="Arial"/>
          <w:color w:val="45699E"/>
          <w:sz w:val="24"/>
        </w:rPr>
        <w:t>4.10  Sprint 13 — FEAT-011</w:t>
      </w:r>
      <w:bookmarkEnd w:id="21"/>
    </w:p>
    <w:p>
      <w:r>
        <w:rPr>
          <w:rFonts w:ascii="Arial" w:hAnsi="Arial"/>
          <w:i/>
          <w:color w:val="B45309"/>
          <w:sz w:val="16"/>
        </w:rPr>
        <w:t>Evidencia: RECONSTRUIDO</w:t>
      </w:r>
    </w:p>
    <w:p>
      <w:pPr>
        <w:pStyle w:val="Heading3"/>
      </w:pPr>
      <w:r>
        <w:rPr>
          <w:rFonts w:ascii="Arial" w:hAnsi="Arial"/>
          <w:color w:val="C84A14"/>
          <w:sz w:val="22"/>
        </w:rPr>
        <w:t>FA-011-A — Exportación de Movimientos a PDF</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[RN-F011-01] El PDF de extracto incluye siempre los datos del titular y el período exacto</w:t>
      </w:r>
    </w:p>
    <w:p>
      <w:pPr>
        <w:pStyle w:val="ListBullet"/>
        <w:ind w:left="283"/>
      </w:pPr>
      <w:r>
        <w:rPr>
          <w:rFonts w:ascii="Arial" w:hAnsi="Arial"/>
          <w:color w:val="333333"/>
          <w:sz w:val="18"/>
        </w:rPr>
        <w:t>[RN-F011-02] El extracto PDF puede cubrir hasta 13 meses (normativa EU)</w:t>
      </w:r>
    </w:p>
    <w:p>
      <w:pPr>
        <w:pStyle w:val="Heading3"/>
      </w:pPr>
      <w:r>
        <w:rPr>
          <w:rFonts w:ascii="Arial" w:hAnsi="Arial"/>
          <w:color w:val="C84A14"/>
          <w:sz w:val="22"/>
        </w:rPr>
        <w:t>FA-011-B — Exportación de Movimientos a Excel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[RN-F011-03] El fichero Excel incluye hoja de movimientos detallados y hoja resumen por categoría</w:t>
      </w:r>
    </w:p>
    <w:p>
      <w:pPr>
        <w:pStyle w:val="ListBullet"/>
        <w:ind w:left="283"/>
      </w:pPr>
      <w:r>
        <w:rPr>
          <w:rFonts w:ascii="Arial" w:hAnsi="Arial"/>
          <w:color w:val="333333"/>
          <w:sz w:val="18"/>
        </w:rPr>
        <w:t>[RN-F011-04] Los importes en Excel usan formato numérico (no texto) para permitir cálculos directos</w:t>
      </w:r>
    </w:p>
    <w:p>
      <w:pPr>
        <w:pStyle w:val="Heading3"/>
      </w:pPr>
      <w:r>
        <w:rPr>
          <w:rFonts w:ascii="Arial" w:hAnsi="Arial"/>
          <w:color w:val="C84A14"/>
          <w:sz w:val="22"/>
        </w:rPr>
        <w:t>FA-011-C — Exportación del Informe Analítico de Gastos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[RN-F011-05] El informe analítico solo exporta períodos completos (no el mes en curso parcial)</w:t>
      </w:r>
    </w:p>
    <w:p>
      <w:r>
        <w:br w:type="page"/>
      </w:r>
    </w:p>
    <w:p>
      <w:bookmarkStart w:id="22" w:name="sprint_14"/>
      <w:pPr>
        <w:pStyle w:val="Heading2"/>
      </w:pPr>
      <w:r>
        <w:rPr>
          <w:rFonts w:ascii="Arial" w:hAnsi="Arial"/>
          <w:color w:val="45699E"/>
          <w:sz w:val="24"/>
        </w:rPr>
        <w:t>4.11  Sprint 14 — FEAT-012</w:t>
      </w:r>
      <w:bookmarkEnd w:id="22"/>
    </w:p>
    <w:p>
      <w:r>
        <w:rPr>
          <w:rFonts w:ascii="Arial" w:hAnsi="Arial"/>
          <w:i/>
          <w:color w:val="B45309"/>
          <w:sz w:val="16"/>
        </w:rPr>
        <w:t>Evidencia: RECONSTRUIDO</w:t>
      </w:r>
    </w:p>
    <w:p>
      <w:pPr>
        <w:pStyle w:val="Heading3"/>
      </w:pPr>
      <w:r>
        <w:rPr>
          <w:rFonts w:ascii="Arial" w:hAnsi="Arial"/>
          <w:color w:val="C84A14"/>
          <w:sz w:val="22"/>
        </w:rPr>
        <w:t>FA-012-A — Consulta y Actualización de Datos Personales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[RN-F012-01] El email del cliente no puede modificarse desde BankPortal; requiere trámite presencial</w:t>
      </w:r>
    </w:p>
    <w:p>
      <w:pPr>
        <w:pStyle w:val="ListBullet"/>
        <w:ind w:left="283"/>
      </w:pPr>
      <w:r>
        <w:rPr>
          <w:rFonts w:ascii="Arial" w:hAnsi="Arial"/>
          <w:color w:val="333333"/>
          <w:sz w:val="18"/>
        </w:rPr>
        <w:t>[RN-F012-02] El teléfono móvil debe verificarse antes de usarse para 2FA por SMS</w:t>
      </w:r>
    </w:p>
    <w:p>
      <w:pPr>
        <w:pStyle w:val="Heading3"/>
      </w:pPr>
      <w:r>
        <w:rPr>
          <w:rFonts w:ascii="Arial" w:hAnsi="Arial"/>
          <w:color w:val="C84A14"/>
          <w:sz w:val="22"/>
        </w:rPr>
        <w:t>FA-012-B — Cambio de Contraseña con Historial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[RN-F012-03] La nueva contraseña no puede coincidir con ninguna de las 3 anteriores</w:t>
      </w:r>
    </w:p>
    <w:p>
      <w:pPr>
        <w:pStyle w:val="ListBullet"/>
        <w:ind w:left="283"/>
      </w:pPr>
      <w:r>
        <w:rPr>
          <w:rFonts w:ascii="Arial" w:hAnsi="Arial"/>
          <w:color w:val="333333"/>
          <w:sz w:val="18"/>
        </w:rPr>
        <w:t>[RN-F012-04] El cambio de contraseña revoca automáticamente todas las sesiones activas excepto la actual</w:t>
      </w:r>
    </w:p>
    <w:p>
      <w:pPr>
        <w:pStyle w:val="Heading3"/>
      </w:pPr>
      <w:r>
        <w:rPr>
          <w:rFonts w:ascii="Arial" w:hAnsi="Arial"/>
          <w:color w:val="C84A14"/>
          <w:sz w:val="22"/>
        </w:rPr>
        <w:t>FA-012-C — Gestión de Preferencias de Comunicación</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[RN-F012-05] Las preferencias de comunicación se aplican a todos los módulos de BankPortal</w:t>
      </w:r>
    </w:p>
    <w:p>
      <w:pPr>
        <w:pStyle w:val="ListBullet"/>
        <w:ind w:left="283"/>
      </w:pPr>
      <w:r>
        <w:rPr>
          <w:rFonts w:ascii="Arial" w:hAnsi="Arial"/>
          <w:color w:val="333333"/>
          <w:sz w:val="18"/>
        </w:rPr>
        <w:t>[RN-F012-06] Desactivar el canal push no cancela la suscripción VAPID; solo deja de recibir notificaciones</w:t>
      </w:r>
    </w:p>
    <w:p>
      <w:pPr>
        <w:pStyle w:val="Heading3"/>
      </w:pPr>
      <w:r>
        <w:rPr>
          <w:rFonts w:ascii="Arial" w:hAnsi="Arial"/>
          <w:color w:val="C84A14"/>
          <w:sz w:val="22"/>
        </w:rPr>
        <w:t>FA-012-D — Revocación de Tokens JWT Activos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[RN-F012-07] Los JWTs revocados se verifican en tiempo O(1) mediante Redis blacklist; la BD es audit trail</w:t>
      </w:r>
    </w:p>
    <w:p>
      <w:r>
        <w:br w:type="page"/>
      </w:r>
    </w:p>
    <w:p>
      <w:bookmarkStart w:id="23" w:name="sprint_15"/>
      <w:pPr>
        <w:pStyle w:val="Heading2"/>
      </w:pPr>
      <w:r>
        <w:rPr>
          <w:rFonts w:ascii="Arial" w:hAnsi="Arial"/>
          <w:color w:val="45699E"/>
          <w:sz w:val="24"/>
        </w:rPr>
        <w:t>4.12  Sprint 15 — FEAT-013</w:t>
      </w:r>
      <w:bookmarkEnd w:id="23"/>
    </w:p>
    <w:p>
      <w:r>
        <w:rPr>
          <w:rFonts w:ascii="Arial" w:hAnsi="Arial"/>
          <w:i/>
          <w:color w:val="B45309"/>
          <w:sz w:val="16"/>
        </w:rPr>
        <w:t>Evidencia: RECONSTRUIDO</w:t>
      </w:r>
    </w:p>
    <w:p>
      <w:pPr>
        <w:pStyle w:val="Heading3"/>
      </w:pPr>
      <w:r>
        <w:rPr>
          <w:rFonts w:ascii="Arial" w:hAnsi="Arial"/>
          <w:color w:val="C84A14"/>
          <w:sz w:val="22"/>
        </w:rPr>
        <w:t>FA-013-A — Inicio del Proceso KYC</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[RN-F013-01] El acceso a transferencias y servicios de pago requiere KYC aprobado</w:t>
      </w:r>
    </w:p>
    <w:p>
      <w:pPr>
        <w:pStyle w:val="ListBullet"/>
        <w:ind w:left="283"/>
      </w:pPr>
      <w:r>
        <w:rPr>
          <w:rFonts w:ascii="Arial" w:hAnsi="Arial"/>
          <w:color w:val="333333"/>
          <w:sz w:val="18"/>
        </w:rPr>
        <w:t>[RN-F013-02] El proceso KYC puede interrumpirse y retomarse antes de enviar</w:t>
      </w:r>
    </w:p>
    <w:p>
      <w:pPr>
        <w:pStyle w:val="Heading3"/>
      </w:pPr>
      <w:r>
        <w:rPr>
          <w:rFonts w:ascii="Arial" w:hAnsi="Arial"/>
          <w:color w:val="C84A14"/>
          <w:sz w:val="22"/>
        </w:rPr>
        <w:t>FA-013-B — Carga de Documentos de Identidad</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[RN-F013-03] Los documentos se almacenan cifrados (AES-256); nunca en claro en base de datos (ADR-023)</w:t>
      </w:r>
    </w:p>
    <w:p>
      <w:pPr>
        <w:pStyle w:val="ListBullet"/>
        <w:ind w:left="283"/>
      </w:pPr>
      <w:r>
        <w:rPr>
          <w:rFonts w:ascii="Arial" w:hAnsi="Arial"/>
          <w:color w:val="333333"/>
          <w:sz w:val="18"/>
        </w:rPr>
        <w:t>[RN-F013-04] Se verifica el hash SHA-256 del documento al subir para detectar ficheros corruptos</w:t>
      </w:r>
    </w:p>
    <w:p>
      <w:pPr>
        <w:pStyle w:val="ListBullet"/>
        <w:ind w:left="283"/>
      </w:pPr>
      <w:r>
        <w:rPr>
          <w:rFonts w:ascii="Arial" w:hAnsi="Arial"/>
          <w:color w:val="333333"/>
          <w:sz w:val="18"/>
        </w:rPr>
        <w:t>[RN-F013-05] Tipos de documento aceptados: DNI, NIE, Pasaporte</w:t>
      </w:r>
    </w:p>
    <w:p>
      <w:pPr>
        <w:pStyle w:val="Heading3"/>
      </w:pPr>
      <w:r>
        <w:rPr>
          <w:rFonts w:ascii="Arial" w:hAnsi="Arial"/>
          <w:color w:val="C84A14"/>
          <w:sz w:val="22"/>
        </w:rPr>
        <w:t>FA-013-C — Revisión y Resolución KYC</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[RN-F013-06] El rechazo KYC debe incluir siempre un motivo que se comunica al cliente</w:t>
      </w:r>
    </w:p>
    <w:p>
      <w:pPr>
        <w:pStyle w:val="ListBullet"/>
        <w:ind w:left="283"/>
      </w:pPr>
      <w:r>
        <w:rPr>
          <w:rFonts w:ascii="Arial" w:hAnsi="Arial"/>
          <w:color w:val="333333"/>
          <w:sz w:val="18"/>
        </w:rPr>
        <w:t>[RN-F013-07] Un KYC aprobado no caduca mientras los documentos de identidad estén vigentes</w:t>
      </w:r>
    </w:p>
    <w:p>
      <w:r>
        <w:br w:type="page"/>
      </w:r>
    </w:p>
    <w:p>
      <w:bookmarkStart w:id="24" w:name="sprint_16"/>
      <w:pPr>
        <w:pStyle w:val="Heading2"/>
      </w:pPr>
      <w:r>
        <w:rPr>
          <w:rFonts w:ascii="Arial" w:hAnsi="Arial"/>
          <w:color w:val="45699E"/>
          <w:sz w:val="24"/>
        </w:rPr>
        <w:t>4.13  Sprint 16 — FEAT-014</w:t>
      </w:r>
      <w:bookmarkEnd w:id="24"/>
    </w:p>
    <w:p>
      <w:r>
        <w:rPr>
          <w:rFonts w:ascii="Arial" w:hAnsi="Arial"/>
          <w:i/>
          <w:color w:val="5B8878"/>
          <w:sz w:val="16"/>
        </w:rPr>
        <w:t>Evidencia: EVIDENCIA-DIRECTA</w:t>
      </w:r>
    </w:p>
    <w:p>
      <w:pPr>
        <w:pStyle w:val="Heading3"/>
      </w:pPr>
      <w:r>
        <w:rPr>
          <w:rFonts w:ascii="Arial" w:hAnsi="Arial"/>
          <w:color w:val="C84A14"/>
          <w:sz w:val="22"/>
        </w:rPr>
        <w:t>FA-014-001 — Suscripción a Notificaciones Push VAPID</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[RN-001] Solo dispositivos con token VAPID registrado activo reciben notificaciones</w:t>
      </w:r>
    </w:p>
    <w:p>
      <w:pPr>
        <w:pStyle w:val="ListBullet"/>
        <w:ind w:left="283"/>
      </w:pPr>
      <w:r>
        <w:rPr>
          <w:rFonts w:ascii="Arial" w:hAnsi="Arial"/>
          <w:color w:val="333333"/>
          <w:sz w:val="18"/>
        </w:rPr>
        <w:t>[RN-002] Un cliente puede registrar hasta 5 dispositivos simultáneamente</w:t>
      </w:r>
    </w:p>
    <w:p>
      <w:pPr>
        <w:pStyle w:val="ListBullet"/>
        <w:ind w:left="283"/>
      </w:pPr>
      <w:r>
        <w:rPr>
          <w:rFonts w:ascii="Arial" w:hAnsi="Arial"/>
          <w:color w:val="333333"/>
          <w:sz w:val="18"/>
        </w:rPr>
        <w:t>[RN-003] El registro VAPID expira a los 12 meses sin actividad</w:t>
      </w:r>
    </w:p>
    <w:p>
      <w:pPr>
        <w:pStyle w:val="Heading3"/>
      </w:pPr>
      <w:r>
        <w:rPr>
          <w:rFonts w:ascii="Arial" w:hAnsi="Arial"/>
          <w:color w:val="C84A14"/>
          <w:sz w:val="22"/>
        </w:rPr>
        <w:t>FA-014-002 — Envío de Notificaciones de Movimientos en Tiempo Real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[RN-004] Las notificaciones de movimientos se envían en tiempo real, máximo 30 segundos tras el evento</w:t>
      </w:r>
    </w:p>
    <w:p>
      <w:pPr>
        <w:pStyle w:val="ListBullet"/>
        <w:ind w:left="283"/>
      </w:pPr>
      <w:r>
        <w:rPr>
          <w:rFonts w:ascii="Arial" w:hAnsi="Arial"/>
          <w:color w:val="333333"/>
          <w:sz w:val="18"/>
        </w:rPr>
        <w:t>[RN-005] Los movimientos por importe inferior al umbral configurado no generan notificación por defecto</w:t>
      </w:r>
    </w:p>
    <w:p>
      <w:pPr>
        <w:pStyle w:val="Heading3"/>
      </w:pPr>
      <w:r>
        <w:rPr>
          <w:rFonts w:ascii="Arial" w:hAnsi="Arial"/>
          <w:color w:val="C84A14"/>
          <w:sz w:val="22"/>
        </w:rPr>
        <w:t>FA-014-003 — Gestión de Preferencias de Notificación Multicanal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[RN-006] El cliente puede desactivar categorías individualmente; la categoría Seguridad siempre permanece activa</w:t>
      </w:r>
    </w:p>
    <w:p>
      <w:r>
        <w:br w:type="page"/>
      </w:r>
    </w:p>
    <w:p>
      <w:bookmarkStart w:id="25" w:name="sprint_17"/>
      <w:pPr>
        <w:pStyle w:val="Heading2"/>
      </w:pPr>
      <w:r>
        <w:rPr>
          <w:rFonts w:ascii="Arial" w:hAnsi="Arial"/>
          <w:color w:val="45699E"/>
          <w:sz w:val="24"/>
        </w:rPr>
        <w:t>4.14  Sprint 17 — FEAT-015</w:t>
      </w:r>
      <w:bookmarkEnd w:id="25"/>
    </w:p>
    <w:p>
      <w:r>
        <w:rPr>
          <w:rFonts w:ascii="Arial" w:hAnsi="Arial"/>
          <w:i/>
          <w:color w:val="5B8878"/>
          <w:sz w:val="16"/>
        </w:rPr>
        <w:t>Evidencia: EVIDENCIA-DIRECTA</w:t>
      </w:r>
    </w:p>
    <w:p>
      <w:pPr>
        <w:pStyle w:val="Heading3"/>
      </w:pPr>
      <w:r>
        <w:rPr>
          <w:rFonts w:ascii="Arial" w:hAnsi="Arial"/>
          <w:color w:val="C84A14"/>
          <w:sz w:val="22"/>
        </w:rPr>
        <w:t>FA-015-A — Programación de Transferencia Única (ONCE)</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[RN-F015-01] Una transferencia programada puede cancelarse hasta el día anterior a la ejecución</w:t>
      </w:r>
    </w:p>
    <w:p>
      <w:pPr>
        <w:pStyle w:val="ListBullet"/>
        <w:ind w:left="283"/>
      </w:pPr>
      <w:r>
        <w:rPr>
          <w:rFonts w:ascii="Arial" w:hAnsi="Arial"/>
          <w:color w:val="333333"/>
          <w:sz w:val="18"/>
        </w:rPr>
        <w:t>[RN-F015-02] Sin fondos suficientes en la fecha de ejecución, la transferencia se marca FAILED y se notifica</w:t>
      </w:r>
    </w:p>
    <w:p>
      <w:pPr>
        <w:pStyle w:val="Heading3"/>
      </w:pPr>
      <w:r>
        <w:rPr>
          <w:rFonts w:ascii="Arial" w:hAnsi="Arial"/>
          <w:color w:val="C84A14"/>
          <w:sz w:val="22"/>
        </w:rPr>
        <w:t>FA-015-B — Transferencias Recurrentes (WEEKLY/BIWEEKLY/MONTHLY)</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[RN-F015-03] Una transferencia recurrente puede pausarse temporalmente y reanudarse</w:t>
      </w:r>
    </w:p>
    <w:p>
      <w:pPr>
        <w:pStyle w:val="ListBullet"/>
        <w:ind w:left="283"/>
      </w:pPr>
      <w:r>
        <w:rPr>
          <w:rFonts w:ascii="Arial" w:hAnsi="Arial"/>
          <w:color w:val="333333"/>
          <w:sz w:val="18"/>
        </w:rPr>
        <w:t>[RN-F015-04] La cancelación de una recurrente no afecta a las ejecuciones ya completadas</w:t>
      </w:r>
    </w:p>
    <w:p>
      <w:pPr>
        <w:pStyle w:val="ListBullet"/>
        <w:ind w:left="283"/>
      </w:pPr>
      <w:r>
        <w:rPr>
          <w:rFonts w:ascii="Arial" w:hAnsi="Arial"/>
          <w:color w:val="333333"/>
          <w:sz w:val="18"/>
        </w:rPr>
        <w:t>[RN-F015-05] Las recurrentes mensuales en días inexistentes se ejecutan el último día hábil del mes</w:t>
      </w:r>
    </w:p>
    <w:p>
      <w:pPr>
        <w:pStyle w:val="Heading3"/>
      </w:pPr>
      <w:r>
        <w:rPr>
          <w:rFonts w:ascii="Arial" w:hAnsi="Arial"/>
          <w:color w:val="C84A14"/>
          <w:sz w:val="22"/>
        </w:rPr>
        <w:t>FA-015-C — Consulta y Gestión de Transferencias Programadas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[RN-F015-06] No se puede editar el IBAN destino de una recurrente activa; hay que cancelar y crear nueva</w:t>
      </w:r>
    </w:p>
    <w:p>
      <w:pPr>
        <w:pStyle w:val="ListBullet"/>
        <w:ind w:left="283"/>
      </w:pPr>
      <w:r>
        <w:rPr>
          <w:rFonts w:ascii="Arial" w:hAnsi="Arial"/>
          <w:color w:val="333333"/>
          <w:sz w:val="18"/>
        </w:rPr>
        <w:t>[RN-F015-07] El historial de ejecuciones de transferencias programadas es inmutable</w:t>
      </w:r>
    </w:p>
    <w:p>
      <w:r>
        <w:br w:type="page"/>
      </w:r>
    </w:p>
    <w:p>
      <w:bookmarkStart w:id="26" w:name="sprint_18"/>
      <w:pPr>
        <w:pStyle w:val="Heading2"/>
      </w:pPr>
      <w:r>
        <w:rPr>
          <w:rFonts w:ascii="Arial" w:hAnsi="Arial"/>
          <w:color w:val="45699E"/>
          <w:sz w:val="24"/>
        </w:rPr>
        <w:t>4.15  Sprint 18 — FEAT-016</w:t>
      </w:r>
      <w:bookmarkEnd w:id="26"/>
    </w:p>
    <w:p>
      <w:r>
        <w:rPr>
          <w:rFonts w:ascii="Arial" w:hAnsi="Arial"/>
          <w:i/>
          <w:color w:val="5B8878"/>
          <w:sz w:val="16"/>
        </w:rPr>
        <w:t>Evidencia: EVIDENCIA-DIRECTA</w:t>
      </w:r>
    </w:p>
    <w:p>
      <w:pPr>
        <w:pStyle w:val="Heading3"/>
      </w:pPr>
      <w:r>
        <w:rPr>
          <w:rFonts w:ascii="Arial" w:hAnsi="Arial"/>
          <w:color w:val="C84A14"/>
          <w:sz w:val="22"/>
        </w:rPr>
        <w:t>FA-016-007 — Consulta de Tarjetas del Cliente</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[RN-012] El cliente solo visualiza tarjetas vinculadas a su identidad verificada en Core Banking</w:t>
      </w:r>
    </w:p>
    <w:p>
      <w:pPr>
        <w:pStyle w:val="ListBullet"/>
        <w:ind w:left="283"/>
      </w:pPr>
      <w:r>
        <w:rPr>
          <w:rFonts w:ascii="Arial" w:hAnsi="Arial"/>
          <w:color w:val="333333"/>
          <w:sz w:val="18"/>
        </w:rPr>
        <w:t>[RN-013] El número de tarjeta se muestra enmascarado (últimos 4 dígitos visibles)</w:t>
      </w:r>
    </w:p>
    <w:p>
      <w:pPr>
        <w:pStyle w:val="Heading3"/>
      </w:pPr>
      <w:r>
        <w:rPr>
          <w:rFonts w:ascii="Arial" w:hAnsi="Arial"/>
          <w:color w:val="C84A14"/>
          <w:sz w:val="22"/>
        </w:rPr>
        <w:t>FA-016-008 — Bloqueo y Desbloqueo de Tarjeta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[RN-014] El bloqueo de tarjeta es inmediato en todos los canales</w:t>
      </w:r>
    </w:p>
    <w:p>
      <w:pPr>
        <w:pStyle w:val="ListBullet"/>
        <w:ind w:left="283"/>
      </w:pPr>
      <w:r>
        <w:rPr>
          <w:rFonts w:ascii="Arial" w:hAnsi="Arial"/>
          <w:color w:val="333333"/>
          <w:sz w:val="18"/>
        </w:rPr>
        <w:t>[RN-015] El desbloqueo requiere 2FA si han transcurrido más de 60 minutos desde el bloqueo</w:t>
      </w:r>
    </w:p>
    <w:p>
      <w:pPr>
        <w:pStyle w:val="ListBullet"/>
        <w:ind w:left="283"/>
      </w:pPr>
      <w:r>
        <w:rPr>
          <w:rFonts w:ascii="Arial" w:hAnsi="Arial"/>
          <w:color w:val="333333"/>
          <w:sz w:val="18"/>
        </w:rPr>
        <w:t>[RN-016] Una tarjeta bloqueada por el banco no puede ser desbloqueada por el cliente desde la app</w:t>
      </w:r>
    </w:p>
    <w:p>
      <w:pPr>
        <w:pStyle w:val="Heading3"/>
      </w:pPr>
      <w:r>
        <w:rPr>
          <w:rFonts w:ascii="Arial" w:hAnsi="Arial"/>
          <w:color w:val="C84A14"/>
          <w:sz w:val="22"/>
        </w:rPr>
        <w:t>FA-016-009 — Cambio de PIN de Tarjeta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[RN-017] El cambio de PIN requiere 2FA obligatorio y no puede coincidir con los últimos 3 PINs usados</w:t>
      </w:r>
    </w:p>
    <w:p>
      <w:pPr>
        <w:pStyle w:val="ListBullet"/>
        <w:ind w:left="283"/>
      </w:pPr>
      <w:r>
        <w:rPr>
          <w:rFonts w:ascii="Arial" w:hAnsi="Arial"/>
          <w:color w:val="333333"/>
          <w:sz w:val="18"/>
        </w:rPr>
        <w:t>[RN-018] El PIN no se almacena en BankPortal; se transmite cifrado directamente al Core Banking</w:t>
      </w:r>
    </w:p>
    <w:p>
      <w:pPr>
        <w:pStyle w:val="Heading3"/>
      </w:pPr>
      <w:r>
        <w:rPr>
          <w:rFonts w:ascii="Arial" w:hAnsi="Arial"/>
          <w:color w:val="C84A14"/>
          <w:sz w:val="22"/>
        </w:rPr>
        <w:t>FA-016-010 — Gestión de Límites de Tarjeta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[RN-019] Los límites de tarjeta están acotados por los máximos del contrato con el banco</w:t>
      </w:r>
    </w:p>
    <w:p>
      <w:pPr>
        <w:pStyle w:val="ListBullet"/>
        <w:ind w:left="283"/>
      </w:pPr>
      <w:r>
        <w:rPr>
          <w:rFonts w:ascii="Arial" w:hAnsi="Arial"/>
          <w:color w:val="333333"/>
          <w:sz w:val="18"/>
        </w:rPr>
        <w:t>[RN-020] El cambio de límites tiene efecto en el siguiente día hábil bancario</w:t>
      </w:r>
    </w:p>
    <w:p>
      <w:pPr>
        <w:pStyle w:val="Heading3"/>
      </w:pPr>
      <w:r>
        <w:rPr>
          <w:rFonts w:ascii="Arial" w:hAnsi="Arial"/>
          <w:color w:val="C84A14"/>
          <w:sz w:val="22"/>
        </w:rPr>
        <w:t>FA-016-011 — Notificaciones Push de Operaciones con Tarjeta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[RN-021] Las notificaciones de tarjeta se disparan también para cargos rechazados</w:t>
      </w:r>
    </w:p>
    <w:p>
      <w:pPr>
        <w:pStyle w:val="Heading3"/>
      </w:pPr>
      <w:r>
        <w:rPr>
          <w:rFonts w:ascii="Arial" w:hAnsi="Arial"/>
          <w:color w:val="C84A14"/>
          <w:sz w:val="22"/>
        </w:rPr>
        <w:t>FA-016-012 — Historial de Transacciones de Tarjeta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[RN-022] El historial de transacciones cubre los últimos 13 meses (normativa EU)</w:t>
      </w:r>
    </w:p>
    <w:p>
      <w:pPr>
        <w:pStyle w:val="ListBullet"/>
        <w:ind w:left="283"/>
      </w:pPr>
      <w:r>
        <w:rPr>
          <w:rFonts w:ascii="Arial" w:hAnsi="Arial"/>
          <w:color w:val="333333"/>
          <w:sz w:val="18"/>
        </w:rPr>
        <w:t>[RN-023] Las transacciones en divisa extranjera muestran importe original y tipo de cambio aplicado</w:t>
      </w:r>
    </w:p>
    <w:p>
      <w:r>
        <w:br w:type="page"/>
      </w:r>
    </w:p>
    <w:p>
      <w:bookmarkStart w:id="27" w:name="sprint_19"/>
      <w:pPr>
        <w:pStyle w:val="Heading2"/>
      </w:pPr>
      <w:r>
        <w:rPr>
          <w:rFonts w:ascii="Arial" w:hAnsi="Arial"/>
          <w:color w:val="45699E"/>
          <w:sz w:val="24"/>
        </w:rPr>
        <w:t>4.16  Sprint 19 — FEAT-017</w:t>
      </w:r>
      <w:bookmarkEnd w:id="27"/>
    </w:p>
    <w:p>
      <w:r>
        <w:rPr>
          <w:rFonts w:ascii="Arial" w:hAnsi="Arial"/>
          <w:i/>
          <w:color w:val="5B8878"/>
          <w:sz w:val="16"/>
        </w:rPr>
        <w:t>Evidencia: SPRINT-19</w:t>
      </w:r>
    </w:p>
    <w:p>
      <w:pPr>
        <w:pStyle w:val="Heading3"/>
      </w:pPr>
      <w:r>
        <w:rPr>
          <w:rFonts w:ascii="Arial" w:hAnsi="Arial"/>
          <w:color w:val="C84A14"/>
          <w:sz w:val="22"/>
        </w:rPr>
        <w:t>FA-017-A — Alta de Mandato SEPA Direct Debit</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[RN-F017-01] La creación de mandato SEPA requiere autenticación fuerte OTP (SCA PSD2 Art.97)</w:t>
      </w:r>
    </w:p>
    <w:p>
      <w:pPr>
        <w:pStyle w:val="ListBullet"/>
        <w:ind w:left="283"/>
      </w:pPr>
      <w:r>
        <w:rPr>
          <w:rFonts w:ascii="Arial" w:hAnsi="Arial"/>
          <w:color w:val="333333"/>
          <w:sz w:val="18"/>
        </w:rPr>
        <w:t>[RN-F017-02] El IBAN del acreedor debe cumplir ISO 13616 y pertenecer a un país SEPA (34 países)</w:t>
      </w:r>
    </w:p>
    <w:p>
      <w:pPr>
        <w:pStyle w:val="ListBullet"/>
        <w:ind w:left="283"/>
      </w:pPr>
      <w:r>
        <w:rPr>
          <w:rFonts w:ascii="Arial" w:hAnsi="Arial"/>
          <w:color w:val="333333"/>
          <w:sz w:val="18"/>
        </w:rPr>
        <w:t>[RN-F017-03] No pueden existir dos mandatos ACTIVE con el mismo acreedor e IBAN para el mismo cliente</w:t>
      </w:r>
    </w:p>
    <w:p>
      <w:pPr>
        <w:pStyle w:val="Heading3"/>
      </w:pPr>
      <w:r>
        <w:rPr>
          <w:rFonts w:ascii="Arial" w:hAnsi="Arial"/>
          <w:color w:val="C84A14"/>
          <w:sz w:val="22"/>
        </w:rPr>
        <w:t>FA-017-B — Consulta y Listado de Mandatos SEPA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[RN-F017-04] El cliente solo puede consultar sus propios mandatos y recibos (aislamiento estricto por usuario)</w:t>
      </w:r>
    </w:p>
    <w:p>
      <w:pPr>
        <w:pStyle w:val="ListBullet"/>
        <w:ind w:left="283"/>
      </w:pPr>
      <w:r>
        <w:rPr>
          <w:rFonts w:ascii="Arial" w:hAnsi="Arial"/>
          <w:color w:val="333333"/>
          <w:sz w:val="18"/>
        </w:rPr>
        <w:t>[RN-F017-05] Los recibos se muestran en orden cronológico descendente, paginados con máximo 50 registros por página</w:t>
      </w:r>
    </w:p>
    <w:p>
      <w:pPr>
        <w:pStyle w:val="Heading3"/>
      </w:pPr>
      <w:r>
        <w:rPr>
          <w:rFonts w:ascii="Arial" w:hAnsi="Arial"/>
          <w:color w:val="C84A14"/>
          <w:sz w:val="22"/>
        </w:rPr>
        <w:t>FA-017-C — Cancelacion de Mandato SEPA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[RN-F017-06] La cancelación de mandato requiere OTP 2FA (operación de alto impacto)</w:t>
      </w:r>
    </w:p>
    <w:p>
      <w:pPr>
        <w:pStyle w:val="ListBullet"/>
        <w:ind w:left="283"/>
      </w:pPr>
      <w:r>
        <w:rPr>
          <w:rFonts w:ascii="Arial" w:hAnsi="Arial"/>
          <w:color w:val="333333"/>
          <w:sz w:val="18"/>
        </w:rPr>
        <w:t>[RN-F017-07] No se puede cancelar si existe recibo PENDING con due_date &lt;= hoy + 2 días hábiles (PSD2 Art.80 D-2)</w:t>
      </w:r>
    </w:p>
    <w:p>
      <w:pPr>
        <w:pStyle w:val="Heading3"/>
      </w:pPr>
      <w:r>
        <w:rPr>
          <w:rFonts w:ascii="Arial" w:hAnsi="Arial"/>
          <w:color w:val="C84A14"/>
          <w:sz w:val="22"/>
        </w:rPr>
        <w:t>FA-017-D — Notificacion Push Domiciliacion Procesada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[RN-F017-08] Las notificaciones push de domiciliación son opcionales si el cliente no tiene token de dispositivo registrado</w:t>
      </w:r>
    </w:p>
    <w:p>
      <w:pPr>
        <w:pStyle w:val="ListBullet"/>
        <w:ind w:left="283"/>
      </w:pPr>
      <w:r>
        <w:rPr>
          <w:rFonts w:ascii="Arial" w:hAnsi="Arial"/>
          <w:color w:val="333333"/>
          <w:sz w:val="18"/>
        </w:rPr>
        <w:t>[RN-F017-09] El tiempo máximo entre el evento de domiciliación y la notificación push es de 30 segundos</w:t>
      </w:r>
    </w:p>
    <w:p>
      <w:pPr>
        <w:pStyle w:val="Heading3"/>
      </w:pPr>
      <w:r>
        <w:rPr>
          <w:rFonts w:ascii="Arial" w:hAnsi="Arial"/>
          <w:color w:val="C84A14"/>
          <w:sz w:val="22"/>
        </w:rPr>
        <w:t>FA-017-E — Exportacion Extracto Domiciliaciones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[RN-F017-10] La exportación del extracto de domiciliaciones cubre el historial completo del mandato seleccionado</w:t>
      </w:r>
    </w:p>
    <w:p>
      <w:r>
        <w:br w:type="page"/>
      </w:r>
    </w:p>
    <w:p>
      <w:bookmarkStart w:id="28" w:name="sprint_20"/>
      <w:pPr>
        <w:pStyle w:val="Heading2"/>
      </w:pPr>
      <w:r>
        <w:rPr>
          <w:rFonts w:ascii="Arial" w:hAnsi="Arial"/>
          <w:color w:val="45699E"/>
          <w:sz w:val="24"/>
        </w:rPr>
        <w:t>4.17  Sprint 20 — DEBT-035 · FEAT-018</w:t>
      </w:r>
      <w:bookmarkEnd w:id="28"/>
    </w:p>
    <w:p>
      <w:r>
        <w:rPr>
          <w:rFonts w:ascii="Arial" w:hAnsi="Arial"/>
          <w:i/>
          <w:color w:val="5B8878"/>
          <w:sz w:val="16"/>
        </w:rPr>
        <w:t>Evidencia: SPRINT-20</w:t>
      </w:r>
    </w:p>
    <w:p>
      <w:pPr>
        <w:pStyle w:val="Heading3"/>
      </w:pPr>
      <w:r>
        <w:rPr>
          <w:rFonts w:ascii="Arial" w:hAnsi="Arial"/>
          <w:color w:val="C84A14"/>
          <w:sz w:val="22"/>
        </w:rPr>
        <w:t>FA-018-A — Generacion de Extracto PDF de Movimientos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[RN-F018-01] El rango máximo de historial exportable es 12 meses desde la fecha de solicitud (PSD2 Art.47 §2)</w:t>
      </w:r>
    </w:p>
    <w:p>
      <w:pPr>
        <w:pStyle w:val="ListBullet"/>
        <w:ind w:left="283"/>
      </w:pPr>
      <w:r>
        <w:rPr>
          <w:rFonts w:ascii="Arial" w:hAnsi="Arial"/>
          <w:color w:val="333333"/>
          <w:sz w:val="18"/>
        </w:rPr>
        <w:t>[RN-F018-02] El PAN de tarjeta debe aparecer enmascarado — solo últimos 4 dígitos visibles (PCI-DSS Req.3.4)</w:t>
      </w:r>
    </w:p>
    <w:p>
      <w:pPr>
        <w:pStyle w:val="ListBullet"/>
        <w:ind w:left="283"/>
      </w:pPr>
      <w:r>
        <w:rPr>
          <w:rFonts w:ascii="Arial" w:hAnsi="Arial"/>
          <w:color w:val="333333"/>
          <w:sz w:val="18"/>
        </w:rPr>
        <w:t>[RN-F018-03] El PDF incluye hash SHA-256 del contenido como garantía de integridad y no repudio</w:t>
      </w:r>
    </w:p>
    <w:p>
      <w:pPr>
        <w:pStyle w:val="ListBullet"/>
        <w:ind w:left="283"/>
      </w:pPr>
      <w:r>
        <w:rPr>
          <w:rFonts w:ascii="Arial" w:hAnsi="Arial"/>
          <w:color w:val="333333"/>
          <w:sz w:val="18"/>
        </w:rPr>
        <w:t>[RN-F018-04] Máximo 500 registros por exportación; si se supera, el sistema informa y solicita reducir el rango</w:t>
      </w:r>
    </w:p>
    <w:p>
      <w:pPr>
        <w:pStyle w:val="Heading3"/>
      </w:pPr>
      <w:r>
        <w:rPr>
          <w:rFonts w:ascii="Arial" w:hAnsi="Arial"/>
          <w:color w:val="C84A14"/>
          <w:sz w:val="22"/>
        </w:rPr>
        <w:t>FA-018-B — Generacion de Extracto CSV de Movimientos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[RN-F018-05] El CSV usa UTF-8 BOM para compatibilidad con Excel en español (evita problemas con caracteres acentuados)</w:t>
      </w:r>
    </w:p>
    <w:p>
      <w:pPr>
        <w:pStyle w:val="ListBullet"/>
        <w:ind w:left="283"/>
      </w:pPr>
      <w:r>
        <w:rPr>
          <w:rFonts w:ascii="Arial" w:hAnsi="Arial"/>
          <w:color w:val="333333"/>
          <w:sz w:val="18"/>
        </w:rPr>
        <w:t>[RN-F018-06] El separador de campos CSV es ';' (estándar europeo) y el separador decimal es ','</w:t>
      </w:r>
    </w:p>
    <w:p>
      <w:pPr>
        <w:pStyle w:val="ListBullet"/>
        <w:ind w:left="283"/>
      </w:pPr>
      <w:r>
        <w:rPr>
          <w:rFonts w:ascii="Arial" w:hAnsi="Arial"/>
          <w:color w:val="333333"/>
          <w:sz w:val="18"/>
        </w:rPr>
        <w:t>[RN-F018-07] El PAN no se incluye en ninguna columna del CSV; las tarjetas se referencian por alias o últimos 4 dígitos</w:t>
      </w:r>
    </w:p>
    <w:p>
      <w:pPr>
        <w:pStyle w:val="ListBullet"/>
        <w:ind w:left="283"/>
      </w:pPr>
      <w:r>
        <w:rPr>
          <w:rFonts w:ascii="Arial" w:hAnsi="Arial"/>
          <w:color w:val="333333"/>
          <w:sz w:val="18"/>
        </w:rPr>
        <w:t>[RN-F018-08] La primera fila del CSV contiene los nombres de columna en español</w:t>
      </w:r>
    </w:p>
    <w:p>
      <w:pPr>
        <w:pStyle w:val="Heading3"/>
      </w:pPr>
      <w:r>
        <w:rPr>
          <w:rFonts w:ascii="Arial" w:hAnsi="Arial"/>
          <w:color w:val="C84A14"/>
          <w:sz w:val="22"/>
        </w:rPr>
        <w:t>FA-018-C — Filtrado Multicriteria de Movimientos para Exportacion</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[RN-F018-09] La fecha mínima seleccionable para exportación es 12 meses atrás desde la fecha actual</w:t>
      </w:r>
    </w:p>
    <w:p>
      <w:pPr>
        <w:pStyle w:val="ListBullet"/>
        <w:ind w:left="283"/>
      </w:pPr>
      <w:r>
        <w:rPr>
          <w:rFonts w:ascii="Arial" w:hAnsi="Arial"/>
          <w:color w:val="333333"/>
          <w:sz w:val="18"/>
        </w:rPr>
        <w:t>[RN-F018-10] Si el preview count supera 500 registros el sistema muestra aviso y bloquea la exportación hasta reducir el rango</w:t>
      </w:r>
    </w:p>
    <w:p>
      <w:pPr>
        <w:pStyle w:val="ListBullet"/>
        <w:ind w:left="283"/>
      </w:pPr>
      <w:r>
        <w:rPr>
          <w:rFonts w:ascii="Arial" w:hAnsi="Arial"/>
          <w:color w:val="333333"/>
          <w:sz w:val="18"/>
        </w:rPr>
        <w:t>[RN-F018-11] Los filtros aplicados se registran en el export_audit_log para trazabilidad GDPR</w:t>
      </w:r>
    </w:p>
    <w:p>
      <w:pPr>
        <w:pStyle w:val="Heading3"/>
      </w:pPr>
      <w:r>
        <w:rPr>
          <w:rFonts w:ascii="Arial" w:hAnsi="Arial"/>
          <w:color w:val="C84A14"/>
          <w:sz w:val="22"/>
        </w:rPr>
        <w:t>FA-018-D — Audit Log de Exportaciones (GDPR + PCI-DSS)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[RN-F018-12] El audit log de exportaciones es asíncrono — su fallo no interrumpe la exportación (fire-and-forget x3)</w:t>
      </w:r>
    </w:p>
    <w:p>
      <w:pPr>
        <w:pStyle w:val="ListBullet"/>
        <w:ind w:left="283"/>
      </w:pPr>
      <w:r>
        <w:rPr>
          <w:rFonts w:ascii="Arial" w:hAnsi="Arial"/>
          <w:color w:val="333333"/>
          <w:sz w:val="18"/>
        </w:rPr>
        <w:t>[RN-F018-13] Retención obligatoria del audit log de exportaciones: 7 años (GDPR Art.17 §3.b y PCI-DSS Req.10.7)</w:t>
      </w:r>
    </w:p>
    <w:p>
      <w:pPr>
        <w:pStyle w:val="ListBullet"/>
        <w:ind w:left="283"/>
      </w:pPr>
      <w:r>
        <w:rPr>
          <w:rFonts w:ascii="Arial" w:hAnsi="Arial"/>
          <w:color w:val="333333"/>
          <w:sz w:val="18"/>
        </w:rPr>
        <w:t>[RN-F018-14] Solo usuarios con rol ADMIN pueden consultar el audit log completo de exportaciones</w:t>
      </w:r>
    </w:p>
    <w:p>
      <w:pPr>
        <w:pStyle w:val="ListBullet"/>
        <w:ind w:left="283"/>
      </w:pPr>
      <w:r>
        <w:rPr>
          <w:rFonts w:ascii="Arial" w:hAnsi="Arial"/>
          <w:color w:val="333333"/>
          <w:sz w:val="18"/>
        </w:rPr>
        <w:t>[RN-F018-15] El hash SHA-256 del PDF generado se almacena en el audit log para verificación posterior</w:t>
      </w:r>
    </w:p>
    <w:p>
      <w:pPr>
        <w:pStyle w:val="Heading3"/>
      </w:pPr>
      <w:r>
        <w:rPr>
          <w:rFonts w:ascii="Arial" w:hAnsi="Arial"/>
          <w:color w:val="C84A14"/>
          <w:sz w:val="22"/>
        </w:rPr>
        <w:t>FA-DEBT035-A — Notificacion Push RETURNED CoreBanking (R-code SEPA)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[RN-DEBT035-01] Al recibir estado RETURNED del CoreBanking el mandato se actualiza con R-code y motivo SEPA</w:t>
      </w:r>
    </w:p>
    <w:p>
      <w:pPr>
        <w:pStyle w:val="ListBullet"/>
        <w:ind w:left="283"/>
      </w:pPr>
      <w:r>
        <w:rPr>
          <w:rFonts w:ascii="Arial" w:hAnsi="Arial"/>
          <w:color w:val="333333"/>
          <w:sz w:val="18"/>
        </w:rPr>
        <w:t>[RN-DEBT035-02] Se envía notificación push al titular con descripción legible del R-code (ej: R01='Fondos insuficientes')</w:t>
      </w:r>
    </w:p>
    <w:p>
      <w:pPr>
        <w:pStyle w:val="ListBullet"/>
        <w:ind w:left="283"/>
      </w:pPr>
      <w:r>
        <w:rPr>
          <w:rFonts w:ascii="Arial" w:hAnsi="Arial"/>
          <w:color w:val="333333"/>
          <w:sz w:val="18"/>
        </w:rPr>
        <w:t>[RN-DEBT035-03] El evento RETURNED queda registrado en el audit trail con timestamp, mandato_id y R-code</w:t>
      </w:r>
    </w:p>
    <w:p>
      <w:r>
        <w:br w:type="page"/>
      </w:r>
    </w:p>
    <w:p>
      <w:bookmarkStart w:id="29" w:name="sprint_21"/>
      <w:pPr>
        <w:pStyle w:val="Heading2"/>
      </w:pPr>
      <w:r>
        <w:rPr>
          <w:rFonts w:ascii="Arial" w:hAnsi="Arial"/>
          <w:color w:val="45699E"/>
          <w:sz w:val="24"/>
        </w:rPr>
        <w:t>4.18  Sprint 21 — FEAT-019</w:t>
      </w:r>
      <w:bookmarkEnd w:id="29"/>
    </w:p>
    <w:p>
      <w:r>
        <w:rPr>
          <w:rFonts w:ascii="Arial" w:hAnsi="Arial"/>
          <w:i/>
          <w:color w:val="5B8878"/>
          <w:sz w:val="16"/>
        </w:rPr>
        <w:t>Evidencia: SPRINT-21</w:t>
      </w:r>
    </w:p>
    <w:p>
      <w:pPr>
        <w:pStyle w:val="Heading3"/>
      </w:pPr>
      <w:r>
        <w:rPr>
          <w:rFonts w:ascii="Arial" w:hAnsi="Arial"/>
          <w:color w:val="C84A14"/>
          <w:sz w:val="22"/>
        </w:rPr>
        <w:t>FA-019-A — Consulta de Datos Personales desde Perfil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[RN-F019-01] El email es solo lectura — no puede modificarse desde la app (requiere tramite presencial en oficina)</w:t>
      </w:r>
    </w:p>
    <w:p>
      <w:pPr>
        <w:pStyle w:val="ListBullet"/>
        <w:ind w:left="283"/>
      </w:pPr>
      <w:r>
        <w:rPr>
          <w:rFonts w:ascii="Arial" w:hAnsi="Arial"/>
          <w:color w:val="333333"/>
          <w:sz w:val="18"/>
        </w:rPr>
        <w:t>[RN-F019-02] El telefono se muestra parcialmente enmascarado en la consulta (primeros digitos ocultos)</w:t>
      </w:r>
    </w:p>
    <w:p>
      <w:pPr>
        <w:pStyle w:val="ListBullet"/>
        <w:ind w:left="283"/>
      </w:pPr>
      <w:r>
        <w:rPr>
          <w:rFonts w:ascii="Arial" w:hAnsi="Arial"/>
          <w:color w:val="333333"/>
          <w:sz w:val="18"/>
        </w:rPr>
        <w:t>[RN-F019-03] Si kycStatus = PENDING, todos los campos del perfil son solo lectura — HTTP 423 si intenta editar</w:t>
      </w:r>
    </w:p>
    <w:p>
      <w:pPr>
        <w:pStyle w:val="ListBullet"/>
        <w:ind w:left="283"/>
      </w:pPr>
      <w:r>
        <w:rPr>
          <w:rFonts w:ascii="Arial" w:hAnsi="Arial"/>
          <w:color w:val="333333"/>
          <w:sz w:val="18"/>
        </w:rPr>
        <w:t>[RN-F019-04] Tiempo de respuesta GET /api/v1/profile &lt; 1 segundo bajo carga normal</w:t>
      </w:r>
    </w:p>
    <w:p>
      <w:pPr>
        <w:pStyle w:val="Heading3"/>
      </w:pPr>
      <w:r>
        <w:rPr>
          <w:rFonts w:ascii="Arial" w:hAnsi="Arial"/>
          <w:color w:val="C84A14"/>
          <w:sz w:val="22"/>
        </w:rPr>
        <w:t>FA-019-B — Actualizacion de Datos Personales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[RN-F019-05] El cambio de telefono movil requiere verificacion OTP enviado al numero actual — SCA PSD2 Art.97</w:t>
      </w:r>
    </w:p>
    <w:p>
      <w:pPr>
        <w:pStyle w:val="ListBullet"/>
        <w:ind w:left="283"/>
      </w:pPr>
      <w:r>
        <w:rPr>
          <w:rFonts w:ascii="Arial" w:hAnsi="Arial"/>
          <w:color w:val="333333"/>
          <w:sz w:val="18"/>
        </w:rPr>
        <w:t>[RN-F019-06] El email NO es campo modificable bajo ninguna circunstancia desde la API — campo ignorado en PATCH</w:t>
      </w:r>
    </w:p>
    <w:p>
      <w:pPr>
        <w:pStyle w:val="ListBullet"/>
        <w:ind w:left="283"/>
      </w:pPr>
      <w:r>
        <w:rPr>
          <w:rFonts w:ascii="Arial" w:hAnsi="Arial"/>
          <w:color w:val="333333"/>
          <w:sz w:val="18"/>
        </w:rPr>
        <w:t>[RN-F019-07] Validacion cruzada con KYC: si kycStatus = PENDING la actualizacion de perfil devuelve HTTP 423 Locked</w:t>
      </w:r>
    </w:p>
    <w:p>
      <w:pPr>
        <w:pStyle w:val="ListBullet"/>
        <w:ind w:left="283"/>
      </w:pPr>
      <w:r>
        <w:rPr>
          <w:rFonts w:ascii="Arial" w:hAnsi="Arial"/>
          <w:color w:val="333333"/>
          <w:sz w:val="18"/>
        </w:rPr>
        <w:t>[RN-F019-08] Todos los cambios de perfil se registran en audit_log con timestamp, IP y valores anterior/nuevo</w:t>
      </w:r>
    </w:p>
    <w:p>
      <w:pPr>
        <w:pStyle w:val="ListBullet"/>
        <w:ind w:left="283"/>
      </w:pPr>
      <w:r>
        <w:rPr>
          <w:rFonts w:ascii="Arial" w:hAnsi="Arial"/>
          <w:color w:val="333333"/>
          <w:sz w:val="18"/>
        </w:rPr>
        <w:t>[RN-F019-09] Nombre y apellidos no pueden quedar vacios — longitud minima 2 caracteres</w:t>
      </w:r>
    </w:p>
    <w:p>
      <w:pPr>
        <w:pStyle w:val="Heading3"/>
      </w:pPr>
      <w:r>
        <w:rPr>
          <w:rFonts w:ascii="Arial" w:hAnsi="Arial"/>
          <w:color w:val="C84A14"/>
          <w:sz w:val="22"/>
        </w:rPr>
        <w:t>FA-019-C — Gestion de Sesiones Activas y Cierre Remoto</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[RN-F019-10] La sesion actual (isCurrent=true) no puede cerrarse remotamente — HTTP 409 Conflict</w:t>
      </w:r>
    </w:p>
    <w:p>
      <w:pPr>
        <w:pStyle w:val="ListBullet"/>
        <w:ind w:left="283"/>
      </w:pPr>
      <w:r>
        <w:rPr>
          <w:rFonts w:ascii="Arial" w:hAnsi="Arial"/>
          <w:color w:val="333333"/>
          <w:sz w:val="18"/>
        </w:rPr>
        <w:t>[RN-F019-11] El cierre remoto de sesion invalida el JWT inmediatamente via Redis blacklist usando TokenService (S20)</w:t>
      </w:r>
    </w:p>
    <w:p>
      <w:pPr>
        <w:pStyle w:val="ListBullet"/>
        <w:ind w:left="283"/>
      </w:pPr>
      <w:r>
        <w:rPr>
          <w:rFonts w:ascii="Arial" w:hAnsi="Arial"/>
          <w:color w:val="333333"/>
          <w:sz w:val="18"/>
        </w:rPr>
        <w:t>[RN-F019-12] La IP de sesion se muestra siempre enmascarada en el listado (hereda RN-F002-01)</w:t>
      </w:r>
    </w:p>
    <w:p>
      <w:pPr>
        <w:pStyle w:val="ListBullet"/>
        <w:ind w:left="283"/>
      </w:pPr>
      <w:r>
        <w:rPr>
          <w:rFonts w:ascii="Arial" w:hAnsi="Arial"/>
          <w:color w:val="333333"/>
          <w:sz w:val="18"/>
        </w:rPr>
        <w:t>[RN-F019-13] Maximo 5 sesiones simultaneas por usuario (hereda RN-F003-04)</w:t>
      </w:r>
    </w:p>
    <w:p>
      <w:pPr>
        <w:pStyle w:val="ListBullet"/>
        <w:ind w:left="283"/>
      </w:pPr>
      <w:r>
        <w:rPr>
          <w:rFonts w:ascii="Arial" w:hAnsi="Arial"/>
          <w:color w:val="333333"/>
          <w:sz w:val="18"/>
        </w:rPr>
        <w:t>[RN-F019-14] El cierre remoto de sesion queda registrado en audit_log con sessionId, userId e IP</w:t>
      </w:r>
    </w:p>
    <w:p>
      <w:pPr>
        <w:pStyle w:val="Heading3"/>
      </w:pPr>
      <w:r>
        <w:rPr>
          <w:rFonts w:ascii="Arial" w:hAnsi="Arial"/>
          <w:color w:val="C84A14"/>
          <w:sz w:val="22"/>
        </w:rPr>
        <w:t>FA-019-D — Gestion de Consentimientos GDPR con Historial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[RN-F019-15] El consentimiento de tipo SECURITY no puede desactivarse — HTTP 422 con mensaje explicativo (hereda RN-F004-06)</w:t>
      </w:r>
    </w:p>
    <w:p>
      <w:pPr>
        <w:pStyle w:val="ListBullet"/>
        <w:ind w:left="283"/>
      </w:pPr>
      <w:r>
        <w:rPr>
          <w:rFonts w:ascii="Arial" w:hAnsi="Arial"/>
          <w:color w:val="333333"/>
          <w:sz w:val="18"/>
        </w:rPr>
        <w:t>[RN-F019-16] Cada cambio de consentimiento genera registro inmutable en consent_history: userId, tipo, valor_anterior, valor_nuevo, timestamp, IP_origen</w:t>
      </w:r>
    </w:p>
    <w:p>
      <w:pPr>
        <w:pStyle w:val="ListBullet"/>
        <w:ind w:left="283"/>
      </w:pPr>
      <w:r>
        <w:rPr>
          <w:rFonts w:ascii="Arial" w:hAnsi="Arial"/>
          <w:color w:val="333333"/>
          <w:sz w:val="18"/>
        </w:rPr>
        <w:t>[RN-F019-17] Los consentimientos de COMMUNICATIONS se sincronizan con preferencias de notificacion (FEAT-014) transaccionalmente</w:t>
      </w:r>
    </w:p>
    <w:p>
      <w:pPr>
        <w:pStyle w:val="ListBullet"/>
        <w:ind w:left="283"/>
      </w:pPr>
      <w:r>
        <w:rPr>
          <w:rFonts w:ascii="Arial" w:hAnsi="Arial"/>
          <w:color w:val="333333"/>
          <w:sz w:val="18"/>
        </w:rPr>
        <w:t>[RN-F019-18] El historial consent_history es solo lectura para el usuario — no se puede modificar ni eliminar</w:t>
      </w:r>
    </w:p>
    <w:p>
      <w:pPr>
        <w:pStyle w:val="Heading3"/>
      </w:pPr>
      <w:r>
        <w:rPr>
          <w:rFonts w:ascii="Arial" w:hAnsi="Arial"/>
          <w:color w:val="C84A14"/>
          <w:sz w:val="22"/>
        </w:rPr>
        <w:t>FA-019-E — Portabilidad de Datos — Descarga JSON Firmado</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[RN-F019-19] Solo puede haber un data-export activo (PENDING o IN_PROGRESS) por usuario simultaneamente — HTTP 409 si se solicita otro</w:t>
      </w:r>
    </w:p>
    <w:p>
      <w:pPr>
        <w:pStyle w:val="ListBullet"/>
        <w:ind w:left="283"/>
      </w:pPr>
      <w:r>
        <w:rPr>
          <w:rFonts w:ascii="Arial" w:hAnsi="Arial"/>
          <w:color w:val="333333"/>
          <w:sz w:val="18"/>
        </w:rPr>
        <w:t>[RN-F019-20] La generacion del data-export es asincrona (@Async) — SLA maximo 24 horas desde la solicitud</w:t>
      </w:r>
    </w:p>
    <w:p>
      <w:pPr>
        <w:pStyle w:val="ListBullet"/>
        <w:ind w:left="283"/>
      </w:pPr>
      <w:r>
        <w:rPr>
          <w:rFonts w:ascii="Arial" w:hAnsi="Arial"/>
          <w:color w:val="333333"/>
          <w:sz w:val="18"/>
        </w:rPr>
        <w:t>[RN-F019-21] El JSON del data-export lleva firma SHA-256 del contenido para garantia de integridad (hereda patron FEAT-018)</w:t>
      </w:r>
    </w:p>
    <w:p>
      <w:pPr>
        <w:pStyle w:val="ListBullet"/>
        <w:ind w:left="283"/>
      </w:pPr>
      <w:r>
        <w:rPr>
          <w:rFonts w:ascii="Arial" w:hAnsi="Arial"/>
          <w:color w:val="333333"/>
          <w:sz w:val="18"/>
        </w:rPr>
        <w:t>[RN-F019-22] Se envia notificacion push al usuario cuando el data-export esta disponible para descarga (reutiliza NotificationService FEAT-014)</w:t>
      </w:r>
    </w:p>
    <w:p>
      <w:pPr>
        <w:pStyle w:val="ListBullet"/>
        <w:ind w:left="283"/>
      </w:pPr>
      <w:r>
        <w:rPr>
          <w:rFonts w:ascii="Arial" w:hAnsi="Arial"/>
          <w:color w:val="333333"/>
          <w:sz w:val="18"/>
        </w:rPr>
        <w:t>[RN-F019-23] El enlace de descarga del data-export expira en 48 horas — HTTP 410 Gone pasado ese tiempo</w:t>
      </w:r>
    </w:p>
    <w:p>
      <w:pPr>
        <w:pStyle w:val="ListBullet"/>
        <w:ind w:left="283"/>
      </w:pPr>
      <w:r>
        <w:rPr>
          <w:rFonts w:ascii="Arial" w:hAnsi="Arial"/>
          <w:color w:val="333333"/>
          <w:sz w:val="18"/>
        </w:rPr>
        <w:t>[RN-F019-24] La solicitud de data-export queda registrada en gdpr_requests con estado PENDING y sla_deadline = createdAt + 30 dias</w:t>
      </w:r>
    </w:p>
    <w:p>
      <w:pPr>
        <w:pStyle w:val="Heading3"/>
      </w:pPr>
      <w:r>
        <w:rPr>
          <w:rFonts w:ascii="Arial" w:hAnsi="Arial"/>
          <w:color w:val="C84A14"/>
          <w:sz w:val="22"/>
        </w:rPr>
        <w:t>FA-019-F — Derecho al Olvido — Eliminacion de Cuenta</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[RN-F019-25] La solicitud de eliminacion requiere OTP 2FA valido — SCA aplicado por seguridad aunque GDPR no lo exige expresamente</w:t>
      </w:r>
    </w:p>
    <w:p>
      <w:pPr>
        <w:pStyle w:val="ListBullet"/>
        <w:ind w:left="283"/>
      </w:pPr>
      <w:r>
        <w:rPr>
          <w:rFonts w:ascii="Arial" w:hAnsi="Arial"/>
          <w:color w:val="333333"/>
          <w:sz w:val="18"/>
        </w:rPr>
        <w:t>[RN-F019-26] El enlace de email de confirmacion de eliminacion es de un solo uso con TTL 24 horas</w:t>
      </w:r>
    </w:p>
    <w:p>
      <w:pPr>
        <w:pStyle w:val="ListBullet"/>
        <w:ind w:left="283"/>
      </w:pPr>
      <w:r>
        <w:rPr>
          <w:rFonts w:ascii="Arial" w:hAnsi="Arial"/>
          <w:color w:val="333333"/>
          <w:sz w:val="18"/>
        </w:rPr>
        <w:t>[RN-F019-27] Tras confirmacion email la cuenta queda SUSPENDED inmediatamente — no puede operar en BankPortal</w:t>
      </w:r>
    </w:p>
    <w:p>
      <w:pPr>
        <w:pStyle w:val="ListBullet"/>
        <w:ind w:left="283"/>
      </w:pPr>
      <w:r>
        <w:rPr>
          <w:rFonts w:ascii="Arial" w:hAnsi="Arial"/>
          <w:color w:val="333333"/>
          <w:sz w:val="18"/>
        </w:rPr>
        <w:t>[RN-F019-28] Borrado logico: nombre → USUARIO ELIMINADO, apellidos → string vacio, email → hash SHA-256 irreversible, telefono → null, direccion → null</w:t>
      </w:r>
    </w:p>
    <w:p>
      <w:pPr>
        <w:pStyle w:val="ListBullet"/>
        <w:ind w:left="283"/>
      </w:pPr>
      <w:r>
        <w:rPr>
          <w:rFonts w:ascii="Arial" w:hAnsi="Arial"/>
          <w:color w:val="333333"/>
          <w:sz w:val="18"/>
        </w:rPr>
        <w:t>[RN-F019-29] Los registros de audit_log y gdpr_requests se conservan integros tras borrado logico — excepcion legal GDPR Art.17§3.b (6 años)</w:t>
      </w:r>
    </w:p>
    <w:p>
      <w:pPr>
        <w:pStyle w:val="ListBullet"/>
        <w:ind w:left="283"/>
      </w:pPr>
      <w:r>
        <w:rPr>
          <w:rFonts w:ascii="Arial" w:hAnsi="Arial"/>
          <w:color w:val="333333"/>
          <w:sz w:val="18"/>
        </w:rPr>
        <w:t>[RN-F019-30] Notificacion a CoreBanking via webhook POST /corebankng/api/account-deletion — fire-and-forget: si falla se registra DEBT-040, el proceso no se bloquea</w:t>
      </w:r>
    </w:p>
    <w:p>
      <w:pPr>
        <w:pStyle w:val="ListBullet"/>
        <w:ind w:left="283"/>
      </w:pPr>
      <w:r>
        <w:rPr>
          <w:rFonts w:ascii="Arial" w:hAnsi="Arial"/>
          <w:color w:val="333333"/>
          <w:sz w:val="18"/>
        </w:rPr>
        <w:t>[RN-F019-31] SLA GDPR Art.12§3: ejecucion completa del borrado logico en 30 dias desde confirmacion del usuario</w:t>
      </w:r>
    </w:p>
    <w:p>
      <w:pPr>
        <w:pStyle w:val="ListBullet"/>
        <w:ind w:left="283"/>
      </w:pPr>
      <w:r>
        <w:rPr>
          <w:rFonts w:ascii="Arial" w:hAnsi="Arial"/>
          <w:color w:val="333333"/>
          <w:sz w:val="18"/>
        </w:rPr>
        <w:t>[RN-F019-32] El usuario recibe email de confirmacion de inicio del borrado y email de confirmacion de borrado completado (dia 30)</w:t>
      </w:r>
    </w:p>
    <w:p>
      <w:pPr>
        <w:pStyle w:val="Heading3"/>
      </w:pPr>
      <w:r>
        <w:rPr>
          <w:rFonts w:ascii="Arial" w:hAnsi="Arial"/>
          <w:color w:val="C84A14"/>
          <w:sz w:val="22"/>
        </w:rPr>
        <w:t>FA-019-G — Log de Derechos GDPR — Panel Administracion</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[RN-F019-33] Solo usuarios con rol ADMIN pueden acceder al endpoint GET /api/v1/admin/gdpr-requests</w:t>
      </w:r>
    </w:p>
    <w:p>
      <w:pPr>
        <w:pStyle w:val="ListBullet"/>
        <w:ind w:left="283"/>
      </w:pPr>
      <w:r>
        <w:rPr>
          <w:rFonts w:ascii="Arial" w:hAnsi="Arial"/>
          <w:color w:val="333333"/>
          <w:sz w:val="18"/>
        </w:rPr>
        <w:t>[RN-F019-34] El SLA de respuesta a solicitudes GDPR es 30 dias desde la solicitud (GDPR Art.12§3)</w:t>
      </w:r>
    </w:p>
    <w:p>
      <w:pPr>
        <w:pStyle w:val="ListBullet"/>
        <w:ind w:left="283"/>
      </w:pPr>
      <w:r>
        <w:rPr>
          <w:rFonts w:ascii="Arial" w:hAnsi="Arial"/>
          <w:color w:val="333333"/>
          <w:sz w:val="18"/>
        </w:rPr>
        <w:t>[RN-F019-35] Si sla_deadline - NOW() &lt; 5 dias y estado != COMPLETED: alerta push a usuarios ADMIN + sla_alert_sent = true</w:t>
      </w:r>
    </w:p>
    <w:p>
      <w:pPr>
        <w:pStyle w:val="ListBullet"/>
        <w:ind w:left="283"/>
      </w:pPr>
      <w:r>
        <w:rPr>
          <w:rFonts w:ascii="Arial" w:hAnsi="Arial"/>
          <w:color w:val="333333"/>
          <w:sz w:val="18"/>
        </w:rPr>
        <w:t>[RN-F019-36] Retencion obligatoria del log gdpr_requests: 6 años (GDPR Art.17§3.b + Ley Contabilidad)</w:t>
      </w:r>
    </w:p>
    <w:p>
      <w:pPr>
        <w:pStyle w:val="ListBullet"/>
        <w:ind w:left="283"/>
      </w:pPr>
      <w:r>
        <w:rPr>
          <w:rFonts w:ascii="Arial" w:hAnsi="Arial"/>
          <w:color w:val="333333"/>
          <w:sz w:val="18"/>
        </w:rPr>
        <w:t>[RN-F019-37] El log gdpr_requests es append-only — no se permiten UPDATE ni DELETE de registros historicos</w:t>
      </w:r>
    </w:p>
    <w:p>
      <w:r>
        <w:br w:type="page"/>
      </w:r>
    </w:p>
    <w:p>
      <w:bookmarkStart w:id="30" w:name="sprint_22"/>
      <w:pPr>
        <w:pStyle w:val="Heading2"/>
      </w:pPr>
      <w:r>
        <w:rPr>
          <w:rFonts w:ascii="Arial" w:hAnsi="Arial"/>
          <w:color w:val="45699E"/>
          <w:sz w:val="24"/>
        </w:rPr>
        <w:t>4.19  Sprint 22 — FEAT-020</w:t>
      </w:r>
      <w:bookmarkEnd w:id="30"/>
    </w:p>
    <w:p>
      <w:r>
        <w:rPr>
          <w:rFonts w:ascii="Arial" w:hAnsi="Arial"/>
          <w:i/>
          <w:color w:val="45699E"/>
          <w:sz w:val="16"/>
        </w:rPr>
        <w:t>Evidencia: SCRUM-117, SCRUM-120, SCRUM-116, SCRUM-115, SCRUM-119, SCRUM-118, SCRUM-121</w:t>
      </w:r>
    </w:p>
    <w:p>
      <w:pPr>
        <w:pStyle w:val="Heading3"/>
      </w:pPr>
      <w:r>
        <w:rPr>
          <w:rFonts w:ascii="Arial" w:hAnsi="Arial"/>
          <w:color w:val="C84A14"/>
          <w:sz w:val="22"/>
        </w:rPr>
        <w:t>FA-020-A — Consulta de Préstamos Activos</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[RN-F020-01] Listado devuelve solo préstamos del usuario autenticado — nunca de otros usuarios</w:t>
      </w:r>
    </w:p>
    <w:p>
      <w:pPr>
        <w:pStyle w:val="ListBullet"/>
        <w:ind w:left="283"/>
      </w:pPr>
      <w:r>
        <w:rPr>
          <w:rFonts w:ascii="Arial" w:hAnsi="Arial"/>
          <w:color w:val="333333"/>
          <w:sz w:val="18"/>
        </w:rPr>
        <w:t>[RN-F020-02] Estados válidos de préstamo: ACTIVE, PENDING, APPROVED, REJECTED, PAID_OFF, CANCELLED</w:t>
      </w:r>
    </w:p>
    <w:p>
      <w:pPr>
        <w:pStyle w:val="ListBullet"/>
        <w:ind w:left="283"/>
      </w:pPr>
      <w:r>
        <w:rPr>
          <w:rFonts w:ascii="Arial" w:hAnsi="Arial"/>
          <w:color w:val="333333"/>
          <w:sz w:val="18"/>
        </w:rPr>
        <w:t>[RN-F020-03] Detalle incluye: capital original, saldo pendiente, TAE, cuota mensual, cuotas pagadas/pendientes</w:t>
      </w:r>
    </w:p>
    <w:p>
      <w:pPr>
        <w:pStyle w:val="Heading3"/>
      </w:pPr>
      <w:r>
        <w:rPr>
          <w:rFonts w:ascii="Arial" w:hAnsi="Arial"/>
          <w:color w:val="C84A14"/>
          <w:sz w:val="22"/>
        </w:rPr>
        <w:t>FA-020-B — Simulador de Préstamo Personal</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[RN-F020-04] Simulación es stateless — no persiste ningún dato en base de datos</w:t>
      </w:r>
    </w:p>
    <w:p>
      <w:pPr>
        <w:pStyle w:val="ListBullet"/>
        <w:ind w:left="283"/>
      </w:pPr>
      <w:r>
        <w:rPr>
          <w:rFonts w:ascii="Arial" w:hAnsi="Arial"/>
          <w:color w:val="333333"/>
          <w:sz w:val="18"/>
        </w:rPr>
        <w:t>[RN-F020-05] Importe válido para simulación y solicitud: 1.000 – 60.000 EUR</w:t>
      </w:r>
    </w:p>
    <w:p>
      <w:pPr>
        <w:pStyle w:val="ListBullet"/>
        <w:ind w:left="283"/>
      </w:pPr>
      <w:r>
        <w:rPr>
          <w:rFonts w:ascii="Arial" w:hAnsi="Arial"/>
          <w:color w:val="333333"/>
          <w:sz w:val="18"/>
        </w:rPr>
        <w:t>[RN-F020-06] Plazo válido para simulación y solicitud: 12 – 84 meses</w:t>
      </w:r>
    </w:p>
    <w:p>
      <w:pPr>
        <w:pStyle w:val="ListBullet"/>
        <w:ind w:left="283"/>
      </w:pPr>
      <w:r>
        <w:rPr>
          <w:rFonts w:ascii="Arial" w:hAnsi="Arial"/>
          <w:color w:val="333333"/>
          <w:sz w:val="18"/>
        </w:rPr>
        <w:t>[RN-F020-07] TAE calculada según fórmula Directiva 2008/48/CE (crédito al consumo europeo)</w:t>
      </w:r>
    </w:p>
    <w:p>
      <w:pPr>
        <w:pStyle w:val="ListBullet"/>
        <w:ind w:left="283"/>
      </w:pPr>
      <w:r>
        <w:rPr>
          <w:rFonts w:ascii="Arial" w:hAnsi="Arial"/>
          <w:color w:val="333333"/>
          <w:sz w:val="18"/>
        </w:rPr>
        <w:t>[RN-F020-08] Cálculo cuota: método francés, BigDecimal escala 10, RoundingMode.HALF_EVEN (ADR-034)</w:t>
      </w:r>
    </w:p>
    <w:p>
      <w:pPr>
        <w:pStyle w:val="Heading3"/>
      </w:pPr>
      <w:r>
        <w:rPr>
          <w:rFonts w:ascii="Arial" w:hAnsi="Arial"/>
          <w:color w:val="C84A14"/>
          <w:sz w:val="22"/>
        </w:rPr>
        <w:t>FA-020-C — Solicitud de Préstamo con Pre-scoring y 2FA</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[RN-F020-09] Solicitud de préstamo requiere validación OTP 2FA previa (patrón LA-DEBT-041)</w:t>
      </w:r>
    </w:p>
    <w:p>
      <w:pPr>
        <w:pStyle w:val="ListBullet"/>
        <w:ind w:left="283"/>
      </w:pPr>
      <w:r>
        <w:rPr>
          <w:rFonts w:ascii="Arial" w:hAnsi="Arial"/>
          <w:color w:val="333333"/>
          <w:sz w:val="18"/>
        </w:rPr>
        <w:t>[RN-F020-10] Pre-scoring mock: hash(userId) % 1000 → score &gt; 600 = PENDING; ≤ 600 = REJECTED (RSK-022-01)</w:t>
      </w:r>
    </w:p>
    <w:p>
      <w:pPr>
        <w:pStyle w:val="ListBullet"/>
        <w:ind w:left="283"/>
      </w:pPr>
      <w:r>
        <w:rPr>
          <w:rFonts w:ascii="Arial" w:hAnsi="Arial"/>
          <w:color w:val="333333"/>
          <w:sz w:val="18"/>
        </w:rPr>
        <w:t>[RN-F020-11] Solicitud duplicada con estado PENDING activo → HTTP 409 Conflict</w:t>
      </w:r>
    </w:p>
    <w:p>
      <w:pPr>
        <w:pStyle w:val="ListBullet"/>
        <w:ind w:left="283"/>
      </w:pPr>
      <w:r>
        <w:rPr>
          <w:rFonts w:ascii="Arial" w:hAnsi="Arial"/>
          <w:color w:val="333333"/>
          <w:sz w:val="18"/>
        </w:rPr>
        <w:t>[RN-F020-12] Campos obligatorios en solicitud: importe, plazo, finalidad</w:t>
      </w:r>
    </w:p>
    <w:p>
      <w:pPr>
        <w:pStyle w:val="ListBullet"/>
        <w:ind w:left="283"/>
      </w:pPr>
      <w:r>
        <w:rPr>
          <w:rFonts w:ascii="Arial" w:hAnsi="Arial"/>
          <w:color w:val="333333"/>
          <w:sz w:val="18"/>
        </w:rPr>
        <w:t>[RN-F020-13] Finalidades válidas: CONSUMO, VEHICULO, REFORMA, OTROS</w:t>
      </w:r>
    </w:p>
    <w:p>
      <w:pPr>
        <w:pStyle w:val="ListBullet"/>
        <w:ind w:left="283"/>
      </w:pPr>
      <w:r>
        <w:rPr>
          <w:rFonts w:ascii="Arial" w:hAnsi="Arial"/>
          <w:color w:val="333333"/>
          <w:sz w:val="18"/>
        </w:rPr>
        <w:t>[RN-F020-14] Audit log obligatorio para toda solicitud de préstamo (creación, cambio estado, cancelación)</w:t>
      </w:r>
    </w:p>
    <w:p>
      <w:pPr>
        <w:pStyle w:val="Heading3"/>
      </w:pPr>
      <w:r>
        <w:rPr>
          <w:rFonts w:ascii="Arial" w:hAnsi="Arial"/>
          <w:color w:val="C84A14"/>
          <w:sz w:val="22"/>
        </w:rPr>
        <w:t>FA-020-D — Cuadro de Amortización</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[RN-F020-17] Cuadro de amortización generado dinámicamente desde parámetros del préstamo — no persistido</w:t>
      </w:r>
    </w:p>
    <w:p>
      <w:pPr>
        <w:pStyle w:val="ListBullet"/>
        <w:ind w:left="283"/>
      </w:pPr>
      <w:r>
        <w:rPr>
          <w:rFonts w:ascii="Arial" w:hAnsi="Arial"/>
          <w:color w:val="333333"/>
          <w:sz w:val="18"/>
        </w:rPr>
        <w:t>[RN-F020-08] Cálculo cuota: método francés, BigDecimal escala 10, RoundingMode.HALF_EVEN (ADR-034)</w:t>
      </w:r>
    </w:p>
    <w:p>
      <w:pPr>
        <w:pStyle w:val="ListBullet"/>
        <w:ind w:left="283"/>
      </w:pPr>
      <w:r>
        <w:rPr>
          <w:rFonts w:ascii="Arial" w:hAnsi="Arial"/>
          <w:color w:val="333333"/>
          <w:sz w:val="18"/>
        </w:rPr>
        <w:t>[RN-F020-18] Cumplimiento Ley 16/2011: información precontractual obligatoria en simulación y solicitud</w:t>
      </w:r>
    </w:p>
    <w:p>
      <w:pPr>
        <w:pStyle w:val="Heading3"/>
      </w:pPr>
      <w:r>
        <w:rPr>
          <w:rFonts w:ascii="Arial" w:hAnsi="Arial"/>
          <w:color w:val="C84A14"/>
          <w:sz w:val="22"/>
        </w:rPr>
        <w:t>FA-020-E — Cancelación de Solicitud de Préstamo</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[RN-F020-15] No se puede cancelar solicitud en estado APPROVED o PAID_OFF — HTTP 422</w:t>
      </w:r>
    </w:p>
    <w:p>
      <w:pPr>
        <w:pStyle w:val="ListBullet"/>
        <w:ind w:left="283"/>
      </w:pPr>
      <w:r>
        <w:rPr>
          <w:rFonts w:ascii="Arial" w:hAnsi="Arial"/>
          <w:color w:val="333333"/>
          <w:sz w:val="18"/>
        </w:rPr>
        <w:t>[RN-F020-16] Solo el propietario (mismo userId) puede cancelar su propia solicitud — HTTP 403 si otro</w:t>
      </w:r>
    </w:p>
    <w:p>
      <w:pPr>
        <w:pStyle w:val="Heading3"/>
      </w:pPr>
      <w:r>
        <w:rPr>
          <w:rFonts w:ascii="Arial" w:hAnsi="Arial"/>
          <w:color w:val="C84A14"/>
          <w:sz w:val="22"/>
        </w:rPr>
        <w:t>FA-020-F — Frontend Angular — Módulo Préstamos</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[RN-F020-01] Listado devuelve solo préstamos del usuario autenticado — nunca de otros usuarios</w:t>
      </w:r>
    </w:p>
    <w:p>
      <w:pPr>
        <w:pStyle w:val="ListBullet"/>
        <w:ind w:left="283"/>
      </w:pPr>
      <w:r>
        <w:rPr>
          <w:rFonts w:ascii="Arial" w:hAnsi="Arial"/>
          <w:color w:val="333333"/>
          <w:sz w:val="18"/>
        </w:rPr>
        <w:t>[RN-F020-02] Estados válidos de préstamo: ACTIVE, PENDING, APPROVED, REJECTED, PAID_OFF, CANCELLED</w:t>
      </w:r>
    </w:p>
    <w:p>
      <w:pPr>
        <w:pStyle w:val="ListBullet"/>
        <w:ind w:left="283"/>
      </w:pPr>
      <w:r>
        <w:rPr>
          <w:rFonts w:ascii="Arial" w:hAnsi="Arial"/>
          <w:color w:val="333333"/>
          <w:sz w:val="18"/>
        </w:rPr>
        <w:t>[RN-F020-03] Detalle incluye: capital original, saldo pendiente, TAE, cuota mensual, cuotas pagadas/pendientes</w:t>
      </w:r>
    </w:p>
    <w:p>
      <w:pPr>
        <w:pStyle w:val="ListBullet"/>
        <w:ind w:left="283"/>
      </w:pPr>
      <w:r>
        <w:rPr>
          <w:rFonts w:ascii="Arial" w:hAnsi="Arial"/>
          <w:color w:val="333333"/>
          <w:sz w:val="18"/>
        </w:rPr>
        <w:t>[RN-F020-04] Simulación es stateless — no persiste ningún dato en base de datos</w:t>
      </w:r>
    </w:p>
    <w:p>
      <w:pPr>
        <w:pStyle w:val="ListBullet"/>
        <w:ind w:left="283"/>
      </w:pPr>
      <w:r>
        <w:rPr>
          <w:rFonts w:ascii="Arial" w:hAnsi="Arial"/>
          <w:color w:val="333333"/>
          <w:sz w:val="18"/>
        </w:rPr>
        <w:t>[RN-F020-05] Importe válido para simulación y solicitud: 1.000 – 60.000 EUR</w:t>
      </w:r>
    </w:p>
    <w:p>
      <w:pPr>
        <w:pStyle w:val="ListBullet"/>
        <w:ind w:left="283"/>
      </w:pPr>
      <w:r>
        <w:rPr>
          <w:rFonts w:ascii="Arial" w:hAnsi="Arial"/>
          <w:color w:val="333333"/>
          <w:sz w:val="18"/>
        </w:rPr>
        <w:t>[RN-F020-06] Plazo válido para simulación y solicitud: 12 – 84 meses</w:t>
      </w:r>
    </w:p>
    <w:p>
      <w:pPr>
        <w:pStyle w:val="ListBullet"/>
        <w:ind w:left="283"/>
      </w:pPr>
      <w:r>
        <w:rPr>
          <w:rFonts w:ascii="Arial" w:hAnsi="Arial"/>
          <w:color w:val="333333"/>
          <w:sz w:val="18"/>
        </w:rPr>
        <w:t>[RN-F020-07] TAE calculada según fórmula Directiva 2008/48/CE (crédito al consumo europeo)</w:t>
      </w:r>
    </w:p>
    <w:p>
      <w:pPr>
        <w:pStyle w:val="ListBullet"/>
        <w:ind w:left="283"/>
      </w:pPr>
      <w:r>
        <w:rPr>
          <w:rFonts w:ascii="Arial" w:hAnsi="Arial"/>
          <w:color w:val="333333"/>
          <w:sz w:val="18"/>
        </w:rPr>
        <w:t>[RN-F020-08] Cálculo cuota: método francés, BigDecimal escala 10, RoundingMode.HALF_EVEN (ADR-034)</w:t>
      </w:r>
    </w:p>
    <w:p>
      <w:pPr>
        <w:pStyle w:val="ListBullet"/>
        <w:ind w:left="283"/>
      </w:pPr>
      <w:r>
        <w:rPr>
          <w:rFonts w:ascii="Arial" w:hAnsi="Arial"/>
          <w:color w:val="333333"/>
          <w:sz w:val="18"/>
        </w:rPr>
        <w:t>[RN-F020-09] Solicitud de préstamo requiere validación OTP 2FA previa (patrón LA-DEBT-041)</w:t>
      </w:r>
    </w:p>
    <w:p>
      <w:pPr>
        <w:pStyle w:val="Heading3"/>
      </w:pPr>
      <w:r>
        <w:rPr>
          <w:rFonts w:ascii="Arial" w:hAnsi="Arial"/>
          <w:color w:val="C84A14"/>
          <w:sz w:val="22"/>
        </w:rPr>
        <w:t>FA-DEBT043-A — Endpoints Notificaciones y Sesiones en Perfil</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[RN-F020-19] GET /api/v1/profile/notifications → HTTP 200 con [] si sin datos — nunca 404 (DEBT-043)</w:t>
      </w:r>
    </w:p>
    <w:p>
      <w:pPr>
        <w:pStyle w:val="ListBullet"/>
        <w:ind w:left="283"/>
      </w:pPr>
      <w:r>
        <w:rPr>
          <w:rFonts w:ascii="Arial" w:hAnsi="Arial"/>
          <w:color w:val="333333"/>
          <w:sz w:val="18"/>
        </w:rPr>
        <w:t>[RN-F020-20] GET /api/v1/profile/sessions → HTTP 200 con [] si sin datos — nunca 404 (DEBT-043)</w:t>
      </w:r>
    </w:p>
    <w:p>
      <w:pPr>
        <w:pStyle w:val="Heading3"/>
      </w:pPr>
      <w:r>
        <w:rPr>
          <w:rFonts w:ascii="Arial" w:hAnsi="Arial"/>
          <w:color w:val="C84A14"/>
          <w:sz w:val="22"/>
        </w:rPr>
        <w:t>FA-DEBT036-A — IBAN en Audit Log y Validación PAN Maestro</w:t>
      </w:r>
    </w:p>
    <w:p>
      <w:r>
        <w:rPr>
          <w:rFonts w:ascii="Arial" w:hAnsi="Arial"/>
          <w:b/>
          <w:color w:val="B45309"/>
          <w:sz w:val="18"/>
        </w:rPr>
        <w:t>Estado: PLANNED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[RN-F020-21] ExportAuditService debe registrar IBAN real resuelto desde AccountRepository (DEBT-036, LA-020-03)</w:t>
      </w:r>
    </w:p>
    <w:p>
      <w:pPr>
        <w:pStyle w:val="ListBullet"/>
        <w:ind w:left="283"/>
      </w:pPr>
      <w:r>
        <w:rPr>
          <w:rFonts w:ascii="Arial" w:hAnsi="Arial"/>
          <w:color w:val="333333"/>
          <w:sz w:val="18"/>
        </w:rPr>
        <w:t>[RN-F020-22] Regex PAN Maestro acepta 12–19 dígitos — CVSS 2.1 corregido (DEBT-037)</w:t>
      </w:r>
    </w:p>
    <w:p>
      <w:r>
        <w:br w:type="page"/>
      </w:r>
    </w:p>
    <w:p>
      <w:bookmarkStart w:id="31" w:name="sprint_23"/>
      <w:pPr>
        <w:pStyle w:val="Heading2"/>
      </w:pPr>
      <w:r>
        <w:rPr>
          <w:rFonts w:ascii="Arial" w:hAnsi="Arial"/>
          <w:color w:val="45699E"/>
          <w:sz w:val="24"/>
        </w:rPr>
        <w:t>4.20  Sprint 23 — DEBT-036+037+044 · FEAT-021</w:t>
      </w:r>
      <w:bookmarkEnd w:id="31"/>
    </w:p>
    <w:p>
      <w:r>
        <w:rPr>
          <w:rFonts w:ascii="Arial" w:hAnsi="Arial"/>
          <w:i/>
          <w:color w:val="45699E"/>
          <w:sz w:val="16"/>
        </w:rPr>
        <w:t>Evidencia: US-F021-05, US-F021-06, US-F021-04, US-F021-01..06, US-F021-02, US-F021-01, DEBT-036 + DEBT-037 + DEBT-044, US-F021-03</w:t>
      </w:r>
    </w:p>
    <w:p>
      <w:pPr>
        <w:pStyle w:val="Heading3"/>
      </w:pPr>
      <w:r>
        <w:rPr>
          <w:rFonts w:ascii="Arial" w:hAnsi="Arial"/>
          <w:color w:val="C84A14"/>
          <w:sz w:val="22"/>
        </w:rPr>
        <w:t>FA-021-A — Consulta de Depósitos Activos</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[RN-F021-05] Badge FGD informativo si importe del depósito ≤ 100.000€ (RDL 16/2011). Cobertura por titular y entidad.</w:t>
      </w:r>
    </w:p>
    <w:p>
      <w:pPr>
        <w:pStyle w:val="ListBullet"/>
        <w:ind w:left="283"/>
      </w:pPr>
      <w:r>
        <w:rPr>
          <w:rFonts w:ascii="Arial" w:hAnsi="Arial"/>
          <w:color w:val="333333"/>
          <w:sz w:val="18"/>
        </w:rPr>
        <w:t>[RN-F021-10] Aislamiento total entre clientes: un cliente no puede consultar, modificar ni cancelar depósitos de otro. Violación → 403 ACCESS_DENIED.</w:t>
      </w:r>
    </w:p>
    <w:p>
      <w:pPr>
        <w:pStyle w:val="Heading3"/>
      </w:pPr>
      <w:r>
        <w:rPr>
          <w:rFonts w:ascii="Arial" w:hAnsi="Arial"/>
          <w:color w:val="C84A14"/>
          <w:sz w:val="22"/>
        </w:rPr>
        <w:t>FA-021-B — Detalle de Depósito y Cuadro de Liquidación IRPF</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[RN-F021-04] Retención IRPF en origen por tramos (Art.25 Ley 35/2006): 19% hasta 6.000€ / 21% entre 6.001€ y 50.000€ / 23% superior a 50.000€.</w:t>
      </w:r>
    </w:p>
    <w:p>
      <w:pPr>
        <w:pStyle w:val="ListBullet"/>
        <w:ind w:left="283"/>
      </w:pPr>
      <w:r>
        <w:rPr>
          <w:rFonts w:ascii="Arial" w:hAnsi="Arial"/>
          <w:color w:val="333333"/>
          <w:sz w:val="18"/>
        </w:rPr>
        <w:t>[RN-F021-06] Todos los cálculos monetarios (intereses, IRPF, penalización) usan BigDecimal con redondeo HALF_EVEN (coherente con ADR-034).</w:t>
      </w:r>
    </w:p>
    <w:p>
      <w:pPr>
        <w:pStyle w:val="ListBullet"/>
        <w:ind w:left="283"/>
      </w:pPr>
      <w:r>
        <w:rPr>
          <w:rFonts w:ascii="Arial" w:hAnsi="Arial"/>
          <w:color w:val="333333"/>
          <w:sz w:val="18"/>
        </w:rPr>
        <w:t>[RN-F021-10] Aislamiento total entre clientes: un cliente no puede consultar, modificar ni cancelar depósitos de otro. Violación → 403 ACCESS_DENIED.</w:t>
      </w:r>
    </w:p>
    <w:p>
      <w:pPr>
        <w:pStyle w:val="Heading3"/>
      </w:pPr>
      <w:r>
        <w:rPr>
          <w:rFonts w:ascii="Arial" w:hAnsi="Arial"/>
          <w:color w:val="C84A14"/>
          <w:sz w:val="22"/>
        </w:rPr>
        <w:t>FA-021-C — Simulador de Depósito a Plazo Fijo</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[RN-F021-01] Importe mínimo de depósito: 1.000€. Por debajo → 400 AMOUNT_TOO_LOW.</w:t>
      </w:r>
    </w:p>
    <w:p>
      <w:pPr>
        <w:pStyle w:val="ListBullet"/>
        <w:ind w:left="283"/>
      </w:pPr>
      <w:r>
        <w:rPr>
          <w:rFonts w:ascii="Arial" w:hAnsi="Arial"/>
          <w:color w:val="333333"/>
          <w:sz w:val="18"/>
        </w:rPr>
        <w:t>[RN-F021-02] Plazo del depósito: mínimo 1 mes, máximo 60 meses. Fuera de rango → 400.</w:t>
      </w:r>
    </w:p>
    <w:p>
      <w:pPr>
        <w:pStyle w:val="ListBullet"/>
        <w:ind w:left="283"/>
      </w:pPr>
      <w:r>
        <w:rPr>
          <w:rFonts w:ascii="Arial" w:hAnsi="Arial"/>
          <w:color w:val="333333"/>
          <w:sz w:val="18"/>
        </w:rPr>
        <w:t>[RN-F021-03] TIN y TAE configurables en application.properties por perfil de entorno. Sin hardcode en código fuente (DEBT-044).</w:t>
      </w:r>
    </w:p>
    <w:p>
      <w:pPr>
        <w:pStyle w:val="ListBullet"/>
        <w:ind w:left="283"/>
      </w:pPr>
      <w:r>
        <w:rPr>
          <w:rFonts w:ascii="Arial" w:hAnsi="Arial"/>
          <w:color w:val="333333"/>
          <w:sz w:val="18"/>
        </w:rPr>
        <w:t>[RN-F021-04] Retención IRPF en origen por tramos (Art.25 Ley 35/2006): 19% hasta 6.000€ / 21% entre 6.001€ y 50.000€ / 23% superior a 50.000€.</w:t>
      </w:r>
    </w:p>
    <w:p>
      <w:pPr>
        <w:pStyle w:val="ListBullet"/>
        <w:ind w:left="283"/>
      </w:pPr>
      <w:r>
        <w:rPr>
          <w:rFonts w:ascii="Arial" w:hAnsi="Arial"/>
          <w:color w:val="333333"/>
          <w:sz w:val="18"/>
        </w:rPr>
        <w:t>[RN-F021-06] Todos los cálculos monetarios (intereses, IRPF, penalización) usan BigDecimal con redondeo HALF_EVEN (coherente con ADR-034).</w:t>
      </w:r>
    </w:p>
    <w:p>
      <w:pPr>
        <w:pStyle w:val="Heading3"/>
      </w:pPr>
      <w:r>
        <w:rPr>
          <w:rFonts w:ascii="Arial" w:hAnsi="Arial"/>
          <w:color w:val="C84A14"/>
          <w:sz w:val="22"/>
        </w:rPr>
        <w:t>FA-021-D — Apertura de Depósito con Confirmación 2FA (SCA)</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[RN-F021-01] Importe mínimo de depósito: 1.000€. Por debajo → 400 AMOUNT_TOO_LOW.</w:t>
      </w:r>
    </w:p>
    <w:p>
      <w:pPr>
        <w:pStyle w:val="ListBullet"/>
        <w:ind w:left="283"/>
      </w:pPr>
      <w:r>
        <w:rPr>
          <w:rFonts w:ascii="Arial" w:hAnsi="Arial"/>
          <w:color w:val="333333"/>
          <w:sz w:val="18"/>
        </w:rPr>
        <w:t>[RN-F021-02] Plazo del depósito: mínimo 1 mes, máximo 60 meses. Fuera de rango → 400.</w:t>
      </w:r>
    </w:p>
    <w:p>
      <w:pPr>
        <w:pStyle w:val="ListBullet"/>
        <w:ind w:left="283"/>
      </w:pPr>
      <w:r>
        <w:rPr>
          <w:rFonts w:ascii="Arial" w:hAnsi="Arial"/>
          <w:color w:val="333333"/>
          <w:sz w:val="18"/>
        </w:rPr>
        <w:t>[RN-F021-03] TIN y TAE configurables en application.properties por perfil de entorno. Sin hardcode en código fuente (DEBT-044).</w:t>
      </w:r>
    </w:p>
    <w:p>
      <w:pPr>
        <w:pStyle w:val="ListBullet"/>
        <w:ind w:left="283"/>
      </w:pPr>
      <w:r>
        <w:rPr>
          <w:rFonts w:ascii="Arial" w:hAnsi="Arial"/>
          <w:color w:val="333333"/>
          <w:sz w:val="18"/>
        </w:rPr>
        <w:t>[RN-F021-07] Instrucción de renovación por defecto: RENEW_MANUAL. El cliente debe instruir explícitamente si desea renovación automática.</w:t>
      </w:r>
    </w:p>
    <w:p>
      <w:pPr>
        <w:pStyle w:val="ListBullet"/>
        <w:ind w:left="283"/>
      </w:pPr>
      <w:r>
        <w:rPr>
          <w:rFonts w:ascii="Arial" w:hAnsi="Arial"/>
          <w:color w:val="333333"/>
          <w:sz w:val="18"/>
        </w:rPr>
        <w:t>[RN-F021-08] OTP 2FA obligatorio para apertura y cancelación anticipada de depósito (PSD2 SCA). Sin OTP → 400 OTP_REQUIRED. OTP inválido → 401 OTP_INVALID.</w:t>
      </w:r>
    </w:p>
    <w:p>
      <w:pPr>
        <w:pStyle w:val="ListBullet"/>
        <w:ind w:left="283"/>
      </w:pPr>
      <w:r>
        <w:rPr>
          <w:rFonts w:ascii="Arial" w:hAnsi="Arial"/>
          <w:color w:val="333333"/>
          <w:sz w:val="18"/>
        </w:rPr>
        <w:t>[RN-F021-10] Aislamiento total entre clientes: un cliente no puede consultar, modificar ni cancelar depósitos de otro. Violación → 403 ACCESS_DENIED.</w:t>
      </w:r>
    </w:p>
    <w:p>
      <w:pPr>
        <w:pStyle w:val="Heading3"/>
      </w:pPr>
      <w:r>
        <w:rPr>
          <w:rFonts w:ascii="Arial" w:hAnsi="Arial"/>
          <w:color w:val="C84A14"/>
          <w:sz w:val="22"/>
        </w:rPr>
        <w:t>FA-021-E — Instrucción de Renovación al Vencimiento</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[RN-F021-07] Instrucción de renovación por defecto: RENEW_MANUAL. El cliente debe instruir explícitamente si desea renovación automática.</w:t>
      </w:r>
    </w:p>
    <w:p>
      <w:pPr>
        <w:pStyle w:val="ListBullet"/>
        <w:ind w:left="283"/>
      </w:pPr>
      <w:r>
        <w:rPr>
          <w:rFonts w:ascii="Arial" w:hAnsi="Arial"/>
          <w:color w:val="333333"/>
          <w:sz w:val="18"/>
        </w:rPr>
        <w:t>[RN-F021-10] Aislamiento total entre clientes: un cliente no puede consultar, modificar ni cancelar depósitos de otro. Violación → 403 ACCESS_DENIED.</w:t>
      </w:r>
    </w:p>
    <w:p>
      <w:pPr>
        <w:pStyle w:val="Heading3"/>
      </w:pPr>
      <w:r>
        <w:rPr>
          <w:rFonts w:ascii="Arial" w:hAnsi="Arial"/>
          <w:color w:val="C84A14"/>
          <w:sz w:val="22"/>
        </w:rPr>
        <w:t>FA-021-F — Cancelación Anticipada de Depósito con Penalización</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[RN-F021-08] OTP 2FA obligatorio para apertura y cancelación anticipada de depósito (PSD2 SCA). Sin OTP → 400 OTP_REQUIRED. OTP inválido → 401 OTP_INVALID.</w:t>
      </w:r>
    </w:p>
    <w:p>
      <w:pPr>
        <w:pStyle w:val="ListBullet"/>
        <w:ind w:left="283"/>
      </w:pPr>
      <w:r>
        <w:rPr>
          <w:rFonts w:ascii="Arial" w:hAnsi="Arial"/>
          <w:color w:val="333333"/>
          <w:sz w:val="18"/>
        </w:rPr>
        <w:t>[RN-F021-09] Penalización por cancelación anticipada = porcentaje configurable (application.properties) × intereses devengados hasta la fecha de cancelación.</w:t>
      </w:r>
    </w:p>
    <w:p>
      <w:pPr>
        <w:pStyle w:val="ListBullet"/>
        <w:ind w:left="283"/>
      </w:pPr>
      <w:r>
        <w:rPr>
          <w:rFonts w:ascii="Arial" w:hAnsi="Arial"/>
          <w:color w:val="333333"/>
          <w:sz w:val="18"/>
        </w:rPr>
        <w:t>[RN-F021-10] Aislamiento total entre clientes: un cliente no puede consultar, modificar ni cancelar depósitos de otro. Violación → 403 ACCESS_DENIED.</w:t>
      </w:r>
    </w:p>
    <w:p>
      <w:pPr>
        <w:pStyle w:val="Heading3"/>
      </w:pPr>
      <w:r>
        <w:rPr>
          <w:rFonts w:ascii="Arial" w:hAnsi="Arial"/>
          <w:color w:val="C84A14"/>
          <w:sz w:val="22"/>
        </w:rPr>
        <w:t>FA-021-G — Módulo Angular Depósitos — Frontend Portal</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[RN-F021-05] Badge FGD informativo si importe del depósito ≤ 100.000€ (RDL 16/2011). Cobertura por titular y entidad.</w:t>
      </w:r>
    </w:p>
    <w:p>
      <w:pPr>
        <w:pStyle w:val="Heading3"/>
      </w:pPr>
      <w:r>
        <w:rPr>
          <w:rFonts w:ascii="Arial" w:hAnsi="Arial"/>
          <w:color w:val="C84A14"/>
          <w:sz w:val="22"/>
        </w:rPr>
        <w:t>FA-DEBT-023A — Cierre Deuda Técnica Sprint 23: IBAN Audit Log · Regex PAN Maestro · TAE Externalizado</w:t>
      </w:r>
    </w:p>
    <w:p>
      <w:r>
        <w:rPr>
          <w:rFonts w:ascii="Arial" w:hAnsi="Arial"/>
          <w:b/>
          <w:color w:val="45699E"/>
          <w:sz w:val="18"/>
        </w:rPr>
        <w:t>Estado: ACTIVE</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[RN-F021-03] TIN y TAE configurables en application.properties por perfil de entorno. Sin hardcode en código fuente (DEBT-044).</w:t>
      </w:r>
    </w:p>
    <w:p>
      <w:r>
        <w:br w:type="page"/>
      </w:r>
    </w:p>
    <w:p>
      <w:bookmarkStart w:id="32" w:name="sprint_24"/>
      <w:pPr>
        <w:pStyle w:val="Heading2"/>
      </w:pPr>
      <w:r>
        <w:rPr>
          <w:rFonts w:ascii="Arial" w:hAnsi="Arial"/>
          <w:color w:val="45699E"/>
          <w:sz w:val="24"/>
        </w:rPr>
        <w:t>4.21  Sprint 24 — FEAT-022</w:t>
      </w:r>
      <w:bookmarkEnd w:id="32"/>
    </w:p>
    <w:p>
      <w:r>
        <w:rPr>
          <w:rFonts w:ascii="Arial" w:hAnsi="Arial"/>
          <w:i/>
          <w:color w:val="5B8878"/>
          <w:sz w:val="16"/>
        </w:rPr>
        <w:t>Evidencia: SPRINT</w:t>
      </w:r>
    </w:p>
    <w:p>
      <w:pPr>
        <w:pStyle w:val="Heading3"/>
      </w:pPr>
      <w:r>
        <w:rPr>
          <w:rFonts w:ascii="Arial" w:hAnsi="Arial"/>
          <w:color w:val="C84A14"/>
          <w:sz w:val="22"/>
        </w:rPr>
        <w:t>FA-022-A — Activación Bizum y vinculación de número de teléfono</w:t>
      </w:r>
    </w:p>
    <w:p>
      <w:r>
        <w:rPr>
          <w:rFonts w:ascii="Arial" w:hAnsi="Arial"/>
          <w:b/>
          <w:color w:val="45699E"/>
          <w:sz w:val="18"/>
        </w:rPr>
        <w:t>Estado: IN_PROGRESS</w:t>
      </w:r>
    </w:p>
    <w:p>
      <w:r>
        <w:rPr>
          <w:rFonts w:ascii="Arial" w:hAnsi="Arial"/>
          <w:i w:val="0"/>
          <w:color w:val="333333"/>
          <w:sz w:val="20"/>
        </w:rPr>
        <w:t>El cliente activa Bizum vinculando su número de móvil (E.164) a su cuenta principal, con consentimiento GDPR explícito y validación de unicidad del número.</w:t>
      </w:r>
    </w:p>
    <w:p>
      <w:r>
        <w:rPr>
          <w:rFonts w:ascii="Arial" w:hAnsi="Arial"/>
          <w:b/>
          <w:color w:val="45699E"/>
          <w:sz w:val="20"/>
        </w:rPr>
        <w:t>Reglas de negocio aplicables:</w:t>
      </w:r>
    </w:p>
    <w:p>
      <w:pPr>
        <w:pStyle w:val="ListBullet"/>
        <w:ind w:left="283"/>
      </w:pPr>
      <w:r>
        <w:rPr>
          <w:rFonts w:ascii="Arial" w:hAnsi="Arial"/>
          <w:color w:val="333333"/>
          <w:sz w:val="18"/>
        </w:rPr>
        <w:t>[RN-F022-01] Un número de móvil solo puede vincularse a una cuenta Bizum activa simultáneamente. Si el número ya está registrado, la activación se rechaza con error 409.</w:t>
      </w:r>
    </w:p>
    <w:p>
      <w:pPr>
        <w:pStyle w:val="ListBullet"/>
        <w:ind w:left="283"/>
      </w:pPr>
      <w:r>
        <w:rPr>
          <w:rFonts w:ascii="Arial" w:hAnsi="Arial"/>
          <w:color w:val="333333"/>
          <w:sz w:val="18"/>
        </w:rPr>
        <w:t>[RN-F022-02] El consentimiento GDPR (Art.6) para la vinculación del número de teléfono debe quedar registrado con timestamp en el momento de la activación.</w:t>
      </w:r>
    </w:p>
    <w:p>
      <w:pPr>
        <w:pStyle w:val="Heading3"/>
      </w:pPr>
      <w:r>
        <w:rPr>
          <w:rFonts w:ascii="Arial" w:hAnsi="Arial"/>
          <w:color w:val="C84A14"/>
          <w:sz w:val="22"/>
        </w:rPr>
        <w:t>FA-022-B — Envío de pago Bizum P2P con SCA OTP</w:t>
      </w:r>
    </w:p>
    <w:p>
      <w:r>
        <w:rPr>
          <w:rFonts w:ascii="Arial" w:hAnsi="Arial"/>
          <w:b/>
          <w:color w:val="45699E"/>
          <w:sz w:val="18"/>
        </w:rPr>
        <w:t>Estado: IN_PROGRESS</w:t>
      </w:r>
    </w:p>
    <w:p>
      <w:r>
        <w:rPr>
          <w:rFonts w:ascii="Arial" w:hAnsi="Arial"/>
          <w:i w:val="0"/>
          <w:color w:val="333333"/>
          <w:sz w:val="20"/>
        </w:rPr>
        <w:t>El cliente envía dinero a otro usuario mediante su número de teléfono. Requiere OTP (SCA PSD2 Art.97), valida límites €500/op y €2.000/día, y liquida vía SEPA Instant en &lt;10s.</w:t>
      </w:r>
    </w:p>
    <w:p>
      <w:r>
        <w:rPr>
          <w:rFonts w:ascii="Arial" w:hAnsi="Arial"/>
          <w:b/>
          <w:color w:val="45699E"/>
          <w:sz w:val="20"/>
        </w:rPr>
        <w:t>Reglas de negocio aplicables:</w:t>
      </w:r>
    </w:p>
    <w:p>
      <w:pPr>
        <w:pStyle w:val="ListBullet"/>
        <w:ind w:left="283"/>
      </w:pPr>
      <w:r>
        <w:rPr>
          <w:rFonts w:ascii="Arial" w:hAnsi="Arial"/>
          <w:color w:val="333333"/>
          <w:sz w:val="18"/>
        </w:rPr>
        <w:t>[RN-F022-03] Todo pago Bizum iniciado por el pagador requiere SCA mediante OTP (PSD2 Art.97). Sin OTP válido no se procesa ningún cargo.</w:t>
      </w:r>
    </w:p>
    <w:p>
      <w:pPr>
        <w:pStyle w:val="ListBullet"/>
        <w:ind w:left="283"/>
      </w:pPr>
      <w:r>
        <w:rPr>
          <w:rFonts w:ascii="Arial" w:hAnsi="Arial"/>
          <w:color w:val="333333"/>
          <w:sz w:val="18"/>
        </w:rPr>
        <w:t>[RN-F022-04] Límite máximo por operación Bizum: €500. Configurable en application.properties (bank.bizum.limit.per-operation). No es bypasseable por ningún rol.</w:t>
      </w:r>
    </w:p>
    <w:p>
      <w:pPr>
        <w:pStyle w:val="ListBullet"/>
        <w:ind w:left="283"/>
      </w:pPr>
      <w:r>
        <w:rPr>
          <w:rFonts w:ascii="Arial" w:hAnsi="Arial"/>
          <w:color w:val="333333"/>
          <w:sz w:val="18"/>
        </w:rPr>
        <w:t>[RN-F022-05] Límite diario Bizum: €2.000 acumulados en el día natural (00:00–23:59 UTC). Se resetea automáticamente a medianoche. Configurable en application.properties.</w:t>
      </w:r>
    </w:p>
    <w:p>
      <w:pPr>
        <w:pStyle w:val="ListBullet"/>
        <w:ind w:left="283"/>
      </w:pPr>
      <w:r>
        <w:rPr>
          <w:rFonts w:ascii="Arial" w:hAnsi="Arial"/>
          <w:color w:val="333333"/>
          <w:sz w:val="18"/>
        </w:rPr>
        <w:t>[RN-F022-06] Los pagos Bizum se liquidan vía SEPA Instant Credit Transfer (SCT Inst). El sistema debe confirmar el estado COMPLETED en un máximo de 10 segundos.</w:t>
      </w:r>
    </w:p>
    <w:p>
      <w:pPr>
        <w:pStyle w:val="Heading3"/>
      </w:pPr>
      <w:r>
        <w:rPr>
          <w:rFonts w:ascii="Arial" w:hAnsi="Arial"/>
          <w:color w:val="C84A14"/>
          <w:sz w:val="22"/>
        </w:rPr>
        <w:t>FA-022-C — Solicitud de cobro Bizum a contacto</w:t>
      </w:r>
    </w:p>
    <w:p>
      <w:r>
        <w:rPr>
          <w:rFonts w:ascii="Arial" w:hAnsi="Arial"/>
          <w:b/>
          <w:color w:val="45699E"/>
          <w:sz w:val="18"/>
        </w:rPr>
        <w:t>Estado: IN_PROGRESS</w:t>
      </w:r>
    </w:p>
    <w:p>
      <w:r>
        <w:rPr>
          <w:rFonts w:ascii="Arial" w:hAnsi="Arial"/>
          <w:i w:val="0"/>
          <w:color w:val="333333"/>
          <w:sz w:val="20"/>
        </w:rPr>
        <w:t>El cliente envía una solicitud de cobro a otro usuario Bizum. La solicitud expira en 24h si no se atiende y genera notificación push al destinatario.</w:t>
      </w:r>
    </w:p>
    <w:p>
      <w:r>
        <w:rPr>
          <w:rFonts w:ascii="Arial" w:hAnsi="Arial"/>
          <w:b/>
          <w:color w:val="45699E"/>
          <w:sz w:val="20"/>
        </w:rPr>
        <w:t>Reglas de negocio aplicables:</w:t>
      </w:r>
    </w:p>
    <w:p>
      <w:pPr>
        <w:pStyle w:val="ListBullet"/>
        <w:ind w:left="283"/>
      </w:pPr>
      <w:r>
        <w:rPr>
          <w:rFonts w:ascii="Arial" w:hAnsi="Arial"/>
          <w:color w:val="333333"/>
          <w:sz w:val="18"/>
        </w:rPr>
        <w:t>[RN-F022-07] Una solicitud de cobro Bizum expira automáticamente a las 24 horas de su creación si no es aceptada ni rechazada. El sistema actualiza el estado a EXPIRED y notifica al solicitante.</w:t>
      </w:r>
    </w:p>
    <w:p>
      <w:pPr>
        <w:pStyle w:val="Heading3"/>
      </w:pPr>
      <w:r>
        <w:rPr>
          <w:rFonts w:ascii="Arial" w:hAnsi="Arial"/>
          <w:color w:val="C84A14"/>
          <w:sz w:val="22"/>
        </w:rPr>
        <w:t>FA-022-D — Aceptación y rechazo de solicitud de dinero Bizum</w:t>
      </w:r>
    </w:p>
    <w:p>
      <w:r>
        <w:rPr>
          <w:rFonts w:ascii="Arial" w:hAnsi="Arial"/>
          <w:b/>
          <w:color w:val="45699E"/>
          <w:sz w:val="18"/>
        </w:rPr>
        <w:t>Estado: IN_PROGRESS</w:t>
      </w:r>
    </w:p>
    <w:p>
      <w:r>
        <w:rPr>
          <w:rFonts w:ascii="Arial" w:hAnsi="Arial"/>
          <w:i w:val="0"/>
          <w:color w:val="333333"/>
          <w:sz w:val="20"/>
        </w:rPr>
        <w:t>El cliente acepta (ejecuta el pago con SCA OTP) o rechaza una solicitud Bizum recibida. En ambos casos el solicitante recibe notificación push del resultado.</w:t>
      </w:r>
    </w:p>
    <w:p>
      <w:r>
        <w:rPr>
          <w:rFonts w:ascii="Arial" w:hAnsi="Arial"/>
          <w:b/>
          <w:color w:val="45699E"/>
          <w:sz w:val="20"/>
        </w:rPr>
        <w:t>Reglas de negocio aplicables:</w:t>
      </w:r>
    </w:p>
    <w:p>
      <w:pPr>
        <w:pStyle w:val="ListBullet"/>
        <w:ind w:left="283"/>
      </w:pPr>
      <w:r>
        <w:rPr>
          <w:rFonts w:ascii="Arial" w:hAnsi="Arial"/>
          <w:color w:val="333333"/>
          <w:sz w:val="18"/>
        </w:rPr>
        <w:t>[RN-F022-08] La aceptación de una solicitud Bizum requiere SCA OTP del aceptante y valida sus límites diarios restantes en el momento de la aceptación.</w:t>
      </w:r>
    </w:p>
    <w:p>
      <w:pPr>
        <w:pStyle w:val="Heading3"/>
      </w:pPr>
      <w:r>
        <w:rPr>
          <w:rFonts w:ascii="Arial" w:hAnsi="Arial"/>
          <w:color w:val="C84A14"/>
          <w:sz w:val="22"/>
        </w:rPr>
        <w:t>FA-022-E — Historial paginado de operaciones Bizum</w:t>
      </w:r>
    </w:p>
    <w:p>
      <w:r>
        <w:rPr>
          <w:rFonts w:ascii="Arial" w:hAnsi="Arial"/>
          <w:b/>
          <w:color w:val="45699E"/>
          <w:sz w:val="18"/>
        </w:rPr>
        <w:t>Estado: IN_PROGRESS</w:t>
      </w:r>
    </w:p>
    <w:p>
      <w:r>
        <w:rPr>
          <w:rFonts w:ascii="Arial" w:hAnsi="Arial"/>
          <w:i w:val="0"/>
          <w:color w:val="333333"/>
          <w:sz w:val="20"/>
        </w:rPr>
        <w:t>El cliente consulta todas sus operaciones Bizum (enviadas, recibidas, solicitudes emitidas y recibidas) con filtros por tipo y estado, paginadas de 20 en 20.</w:t>
      </w:r>
    </w:p>
    <w:p>
      <w:r>
        <w:rPr>
          <w:rFonts w:ascii="Arial" w:hAnsi="Arial"/>
          <w:b/>
          <w:color w:val="45699E"/>
          <w:sz w:val="20"/>
        </w:rPr>
        <w:t>Reglas de negocio aplicables:</w:t>
      </w:r>
    </w:p>
    <w:p>
      <w:pPr>
        <w:pStyle w:val="ListBullet"/>
        <w:ind w:left="283"/>
      </w:pPr>
      <w:r>
        <w:rPr>
          <w:rFonts w:ascii="Arial" w:hAnsi="Arial"/>
          <w:color w:val="333333"/>
          <w:sz w:val="18"/>
        </w:rPr>
        <w:t>[RN-F022-09] Los números de teléfono de terceros se muestran siempre enmascarados en todas las vistas del portal: +34 *** XXXX (últimos 4 dígitos visibles).</w:t>
      </w:r>
    </w:p>
    <w:p>
      <w:pPr>
        <w:pStyle w:val="Heading3"/>
      </w:pPr>
      <w:r>
        <w:rPr>
          <w:rFonts w:ascii="Arial" w:hAnsi="Arial"/>
          <w:color w:val="C84A14"/>
          <w:sz w:val="22"/>
        </w:rPr>
        <w:t>FA-022-F — Notificaciones push para eventos Bizum</w:t>
      </w:r>
    </w:p>
    <w:p>
      <w:r>
        <w:rPr>
          <w:rFonts w:ascii="Arial" w:hAnsi="Arial"/>
          <w:b/>
          <w:color w:val="45699E"/>
          <w:sz w:val="18"/>
        </w:rPr>
        <w:t>Estado: IN_PROGRESS</w:t>
      </w:r>
    </w:p>
    <w:p>
      <w:r>
        <w:rPr>
          <w:rFonts w:ascii="Arial" w:hAnsi="Arial"/>
          <w:i w:val="0"/>
          <w:color w:val="333333"/>
          <w:sz w:val="20"/>
        </w:rPr>
        <w:t>El sistema emite notificaciones push VAPID en todos los eventos relevantes: recepción de pago, solicitud entrante, solicitud aceptada, solicitud rechazada y solicitud expirada.</w:t>
      </w:r>
    </w:p>
    <w:p>
      <w:r>
        <w:rPr>
          <w:rFonts w:ascii="Arial" w:hAnsi="Arial"/>
          <w:b/>
          <w:color w:val="45699E"/>
          <w:sz w:val="20"/>
        </w:rPr>
        <w:t>Reglas de negocio aplicables:</w:t>
      </w:r>
    </w:p>
    <w:p>
      <w:pPr>
        <w:pStyle w:val="ListBullet"/>
        <w:ind w:left="283"/>
      </w:pPr>
      <w:r>
        <w:rPr>
          <w:rFonts w:ascii="Arial" w:hAnsi="Arial"/>
          <w:color w:val="333333"/>
          <w:sz w:val="18"/>
        </w:rPr>
        <w:t>[RN-F022-10] Las actionUrl de las notificaciones push Bizum deben corresponder a rutas registradas en app-routing.module.ts. No se permiten rutas inexistentes (LA-023-01).</w:t>
      </w:r>
    </w:p>
    <w:p>
      <w:pPr>
        <w:pStyle w:val="Heading3"/>
      </w:pPr>
      <w:r>
        <w:rPr>
          <w:rFonts w:ascii="Arial" w:hAnsi="Arial"/>
          <w:color w:val="C84A14"/>
          <w:sz w:val="22"/>
        </w:rPr>
        <w:t>FA-022-G — Módulo Angular Bizum con 5 pantallas</w:t>
      </w:r>
    </w:p>
    <w:p>
      <w:r>
        <w:rPr>
          <w:rFonts w:ascii="Arial" w:hAnsi="Arial"/>
          <w:b/>
          <w:color w:val="45699E"/>
          <w:sz w:val="18"/>
        </w:rPr>
        <w:t>Estado: IN_PROGRESS</w:t>
      </w:r>
    </w:p>
    <w:p>
      <w:r>
        <w:rPr>
          <w:rFonts w:ascii="Arial" w:hAnsi="Arial"/>
          <w:i w:val="0"/>
          <w:color w:val="333333"/>
          <w:sz w:val="20"/>
        </w:rPr>
        <w:t>Interfaz Angular con acceso lazy desde el sidebar del shell. Pantallas: Inicio Bizum, Enviar, Solicitar, Historial y Configuración. Fidelidad al prototipo HITL aprobado.</w:t>
      </w:r>
    </w:p>
    <w:p>
      <w:r>
        <w:rPr>
          <w:rFonts w:ascii="Arial" w:hAnsi="Arial"/>
          <w:b/>
          <w:color w:val="45699E"/>
          <w:sz w:val="20"/>
        </w:rPr>
        <w:t>Reglas de negocio aplicables:</w:t>
      </w:r>
    </w:p>
    <w:p>
      <w:pPr>
        <w:pStyle w:val="ListBullet"/>
        <w:ind w:left="283"/>
      </w:pPr>
      <w:r>
        <w:rPr>
          <w:rFonts w:ascii="Arial" w:hAnsi="Arial"/>
          <w:color w:val="333333"/>
          <w:sz w:val="18"/>
        </w:rPr>
        <w:t>[RN-F022-11] El módulo Angular Bizum debe verificarse componente a componente contra el prototipo HITL aprobado antes de pasar a QA. El diseño respeta el sistema de producción: sidebar navy #1e3a5f, fondo #F5F7FA, cards blancas, botones primarios navy (LA-023-02).</w:t>
      </w:r>
    </w:p>
    <w:p>
      <w:r>
        <w:br w:type="page"/>
      </w:r>
    </w:p>
    <w:p>
      <w:bookmarkStart w:id="33" w:name="sprint_25"/>
      <w:pPr>
        <w:pStyle w:val="Heading2"/>
      </w:pPr>
      <w:r>
        <w:rPr>
          <w:rFonts w:ascii="Arial" w:hAnsi="Arial"/>
          <w:color w:val="45699E"/>
          <w:sz w:val="24"/>
        </w:rPr>
        <w:t>4.22  Sprint 25 — FEAT-023</w:t>
      </w:r>
      <w:bookmarkEnd w:id="33"/>
    </w:p>
    <w:p>
      <w:r>
        <w:rPr>
          <w:rFonts w:ascii="Arial" w:hAnsi="Arial"/>
          <w:i/>
          <w:color w:val="45699E"/>
          <w:sz w:val="16"/>
        </w:rPr>
        <w:t>Evidencia: SRS-FEAT-023-sprint25.md · US-F023-06, SRS-FEAT-023-sprint25.md · US-F023-04, SRS-FEAT-023-sprint25.md · US-F023-07, SRS-FEAT-023-sprint25.md · US-F023-01, SRS-FEAT-023-sprint25.md · US-F023-03, SRS-FEAT-023-sprint25.md · US-F023-02, SRS-FEAT-023-sprint25.md · US-F023-05</w:t>
      </w:r>
    </w:p>
    <w:p>
      <w:pPr>
        <w:pStyle w:val="Heading3"/>
      </w:pPr>
      <w:r>
        <w:rPr>
          <w:rFonts w:ascii="Arial" w:hAnsi="Arial"/>
          <w:color w:val="C84A14"/>
          <w:sz w:val="22"/>
        </w:rPr>
        <w:t>FA-PFM-001 — Categorización automática de movimientos</w:t>
      </w:r>
    </w:p>
    <w:p>
      <w:r>
        <w:rPr>
          <w:rFonts w:ascii="Arial" w:hAnsi="Arial"/>
          <w:b/>
          <w:color w:val="B45309"/>
          <w:sz w:val="18"/>
        </w:rPr>
        <w:t>Estado: PLANNED</w:t>
      </w:r>
    </w:p>
    <w:p>
      <w:r>
        <w:rPr>
          <w:rFonts w:ascii="Arial" w:hAnsi="Arial"/>
          <w:i w:val="0"/>
          <w:color w:val="333333"/>
          <w:sz w:val="20"/>
        </w:rPr>
        <w:t>El sistema clasifica automáticamente los movimientos de la cuenta en categorías de gasto predefinidas (Alimentación, Transporte, Restaurantes, Salud, Hogar, Suministros, Comunicaciones, Ocio, Educación, Viajes, Seguros, Nómina, Transferencias, Otros) aplicando un motor de reglas basado en el concepto del movimiento e IBAN acreedor. Las reglas del usuario tienen prioridad sobre las del sistema.</w:t>
      </w:r>
    </w:p>
    <w:p>
      <w:r>
        <w:rPr>
          <w:rFonts w:ascii="Arial" w:hAnsi="Arial"/>
          <w:b/>
          <w:color w:val="45699E"/>
          <w:sz w:val="20"/>
        </w:rPr>
        <w:t>Reglas de negocio aplicables:</w:t>
      </w:r>
    </w:p>
    <w:p>
      <w:pPr>
        <w:pStyle w:val="ListBullet"/>
        <w:ind w:left="283"/>
      </w:pPr>
      <w:r>
        <w:rPr>
          <w:rFonts w:ascii="Arial" w:hAnsi="Arial"/>
          <w:color w:val="333333"/>
          <w:sz w:val="18"/>
        </w:rPr>
        <w:t>[RN-F023-01] Categorización por ILIKE sobre campo concept del movimiento contra tabla pfm_category_rules. Reglas del usuario (pfm_user_rules) tienen prioridad sobre reglas del sistema.</w:t>
      </w:r>
    </w:p>
    <w:p>
      <w:pPr>
        <w:pStyle w:val="ListBullet"/>
        <w:ind w:left="283"/>
      </w:pPr>
      <w:r>
        <w:rPr>
          <w:rFonts w:ascii="Arial" w:hAnsi="Arial"/>
          <w:color w:val="333333"/>
          <w:sz w:val="18"/>
        </w:rPr>
        <w:t>[RN-F023-02] Solo movimientos de tipo CARGO se incluyen en presupuestos y análisis de gasto. Los ABONO se muestran en el listado pero no computan en ningún presupuesto.</w:t>
      </w:r>
    </w:p>
    <w:p>
      <w:pPr>
        <w:pStyle w:val="ListBullet"/>
        <w:ind w:left="283"/>
      </w:pPr>
      <w:r>
        <w:rPr>
          <w:rFonts w:ascii="Arial" w:hAnsi="Arial"/>
          <w:color w:val="333333"/>
          <w:sz w:val="18"/>
        </w:rPr>
        <w:t>[RN-F023-03] La categoría se calcula en tiempo de consulta. Solo se persiste en BD el override manual del usuario (pfm_user_rules). La categoría derivada no se almacena en la tabla transactions.</w:t>
      </w:r>
    </w:p>
    <w:p>
      <w:pPr>
        <w:pStyle w:val="Heading3"/>
      </w:pPr>
      <w:r>
        <w:rPr>
          <w:rFonts w:ascii="Arial" w:hAnsi="Arial"/>
          <w:color w:val="C84A14"/>
          <w:sz w:val="22"/>
        </w:rPr>
        <w:t>FA-PFM-002 — Gestión de presupuestos mensuales por categoría</w:t>
      </w:r>
    </w:p>
    <w:p>
      <w:r>
        <w:rPr>
          <w:rFonts w:ascii="Arial" w:hAnsi="Arial"/>
          <w:b/>
          <w:color w:val="B45309"/>
          <w:sz w:val="18"/>
        </w:rPr>
        <w:t>Estado: PLANNED</w:t>
      </w:r>
    </w:p>
    <w:p>
      <w:r>
        <w:rPr>
          <w:rFonts w:ascii="Arial" w:hAnsi="Arial"/>
          <w:i w:val="0"/>
          <w:color w:val="333333"/>
          <w:sz w:val="20"/>
        </w:rPr>
        <w:t>El cliente puede crear, editar y eliminar presupuestos mensuales para cada categoría de gasto. Cada presupuesto muestra en tiempo real el porcentaje consumido mediante una barra de progreso con código de color (verde &lt;80%, naranja 80-100%, rojo &gt;100%). El sistema permite un máximo de 10 presupuestos activos simultáneos, uno por categoría, con importe entre 0,01 EUR y 99.999,99 EUR (BigDecimal HALF_EVEN). Los presupuestos son de carácter mensual recurrente.</w:t>
      </w:r>
    </w:p>
    <w:p>
      <w:r>
        <w:rPr>
          <w:rFonts w:ascii="Arial" w:hAnsi="Arial"/>
          <w:b/>
          <w:color w:val="45699E"/>
          <w:sz w:val="20"/>
        </w:rPr>
        <w:t>Reglas de negocio aplicables:</w:t>
      </w:r>
    </w:p>
    <w:p>
      <w:pPr>
        <w:pStyle w:val="ListBullet"/>
        <w:ind w:left="283"/>
      </w:pPr>
      <w:r>
        <w:rPr>
          <w:rFonts w:ascii="Arial" w:hAnsi="Arial"/>
          <w:color w:val="333333"/>
          <w:sz w:val="18"/>
        </w:rPr>
        <w:t>[RN-F023-04] Máximo 10 presupuestos activos simultáneos por usuario. Al alcanzar el límite el botón de creación se deshabilita y se muestra mensaje informativo.</w:t>
      </w:r>
    </w:p>
    <w:p>
      <w:pPr>
        <w:pStyle w:val="ListBullet"/>
        <w:ind w:left="283"/>
      </w:pPr>
      <w:r>
        <w:rPr>
          <w:rFonts w:ascii="Arial" w:hAnsi="Arial"/>
          <w:color w:val="333333"/>
          <w:sz w:val="18"/>
        </w:rPr>
        <w:t>[RN-F023-05] Un único presupuesto por categoría por mes. No se permiten dos presupuestos para la misma categoría en el mismo período mensual.</w:t>
      </w:r>
    </w:p>
    <w:p>
      <w:pPr>
        <w:pStyle w:val="ListBullet"/>
        <w:ind w:left="283"/>
      </w:pPr>
      <w:r>
        <w:rPr>
          <w:rFonts w:ascii="Arial" w:hAnsi="Arial"/>
          <w:color w:val="333333"/>
          <w:sz w:val="18"/>
        </w:rPr>
        <w:t>[RN-F023-06] El importe del presupuesto debe ser mayor que 0 EUR y menor o igual a 99.999,99 EUR con exactamente dos decimales. Todos los cálculos monetarios usan BigDecimal con modo de redondeo HALF_EVEN (ADR-034).</w:t>
      </w:r>
    </w:p>
    <w:p>
      <w:pPr>
        <w:pStyle w:val="ListBullet"/>
        <w:ind w:left="283"/>
      </w:pPr>
      <w:r>
        <w:rPr>
          <w:rFonts w:ascii="Arial" w:hAnsi="Arial"/>
          <w:color w:val="333333"/>
          <w:sz w:val="18"/>
        </w:rPr>
        <w:t>[RN-F023-07] Los presupuestos son de periodicidad mensual. El consumo se resetea automáticamente al inicio de cada mes. El importe configurado actúa como plantilla recurrente y se mantiene activo hasta que el usuario lo elimine explícitamente.</w:t>
      </w:r>
    </w:p>
    <w:p>
      <w:pPr>
        <w:pStyle w:val="Heading3"/>
      </w:pPr>
      <w:r>
        <w:rPr>
          <w:rFonts w:ascii="Arial" w:hAnsi="Arial"/>
          <w:color w:val="C84A14"/>
          <w:sz w:val="22"/>
        </w:rPr>
        <w:t>FA-PFM-003 — Alertas de gasto por umbral configurable</w:t>
      </w:r>
    </w:p>
    <w:p>
      <w:r>
        <w:rPr>
          <w:rFonts w:ascii="Arial" w:hAnsi="Arial"/>
          <w:b/>
          <w:color w:val="B45309"/>
          <w:sz w:val="18"/>
        </w:rPr>
        <w:t>Estado: PLANNED</w:t>
      </w:r>
    </w:p>
    <w:p>
      <w:r>
        <w:rPr>
          <w:rFonts w:ascii="Arial" w:hAnsi="Arial"/>
          <w:i w:val="0"/>
          <w:color w:val="333333"/>
          <w:sz w:val="20"/>
        </w:rPr>
        <w:t>El sistema emite una notificación push al cliente cuando el gasto acumulado en una categoría supera el umbral porcentual configurado sobre el presupuesto correspondiente. El umbral es configurable entre el 50% y el 95% en incrementos de 5 puntos porcentuales. La alerta se dispara una única vez por presupuesto y mes, integrándose con el centro de notificaciones del portal (FEAT-014). La evaluación del umbral se realiza de forma síncrona en cada nuevo movimiento.</w:t>
      </w:r>
    </w:p>
    <w:p>
      <w:r>
        <w:rPr>
          <w:rFonts w:ascii="Arial" w:hAnsi="Arial"/>
          <w:b/>
          <w:color w:val="45699E"/>
          <w:sz w:val="20"/>
        </w:rPr>
        <w:t>Reglas de negocio aplicables:</w:t>
      </w:r>
    </w:p>
    <w:p>
      <w:pPr>
        <w:pStyle w:val="ListBullet"/>
        <w:ind w:left="283"/>
      </w:pPr>
      <w:r>
        <w:rPr>
          <w:rFonts w:ascii="Arial" w:hAnsi="Arial"/>
          <w:color w:val="333333"/>
          <w:sz w:val="18"/>
        </w:rPr>
        <w:t>[RN-F023-08] El umbral de alerta de presupuesto es configurable entre el 50% y el 95% del importe en incrementos de 5 puntos porcentuales (50, 55, 60, 65, 70, 75, 80, 85, 90, 95). Valores fuera de este rango son rechazados con error de validación.</w:t>
      </w:r>
    </w:p>
    <w:p>
      <w:pPr>
        <w:pStyle w:val="ListBullet"/>
        <w:ind w:left="283"/>
      </w:pPr>
      <w:r>
        <w:rPr>
          <w:rFonts w:ascii="Arial" w:hAnsi="Arial"/>
          <w:color w:val="333333"/>
          <w:sz w:val="18"/>
        </w:rPr>
        <w:t>[RN-F023-09] La alerta de presupuesto se dispara una única vez por presupuesto y por mes natural. Una vez emitida no se vuelve a generar aunque el gasto siga aumentando hasta el próximo reset mensual.</w:t>
      </w:r>
    </w:p>
    <w:p>
      <w:pPr>
        <w:pStyle w:val="ListBullet"/>
        <w:ind w:left="283"/>
      </w:pPr>
      <w:r>
        <w:rPr>
          <w:rFonts w:ascii="Arial" w:hAnsi="Arial"/>
          <w:color w:val="333333"/>
          <w:sz w:val="18"/>
        </w:rPr>
        <w:t>[RN-F023-10] Las alertas de presupuesto se integran con el sistema de notificaciones push del portal (FEAT-014, Sprint 16). El tipo de notificación es BUDGET_ALERT y la acción de navegación apunta a /pfm/presupuestos.</w:t>
      </w:r>
    </w:p>
    <w:p>
      <w:pPr>
        <w:pStyle w:val="ListBullet"/>
        <w:ind w:left="283"/>
      </w:pPr>
      <w:r>
        <w:rPr>
          <w:rFonts w:ascii="Arial" w:hAnsi="Arial"/>
          <w:color w:val="333333"/>
          <w:sz w:val="18"/>
        </w:rPr>
        <w:t>[RN-F023-11] La evaluación del umbral de alerta se realiza de forma síncrona cada vez que se registra un nuevo movimiento CARGO. Si el acumulado supera el umbral configurado y no se ha emitido alerta en el mes en curso se genera la notificación.</w:t>
      </w:r>
    </w:p>
    <w:p>
      <w:pPr>
        <w:pStyle w:val="Heading3"/>
      </w:pPr>
      <w:r>
        <w:rPr>
          <w:rFonts w:ascii="Arial" w:hAnsi="Arial"/>
          <w:color w:val="C84A14"/>
          <w:sz w:val="22"/>
        </w:rPr>
        <w:t>FA-PFM-004 — Análisis mensual comparativo de gasto</w:t>
      </w:r>
    </w:p>
    <w:p>
      <w:r>
        <w:rPr>
          <w:rFonts w:ascii="Arial" w:hAnsi="Arial"/>
          <w:b/>
          <w:color w:val="B45309"/>
          <w:sz w:val="18"/>
        </w:rPr>
        <w:t>Estado: PLANNED</w:t>
      </w:r>
    </w:p>
    <w:p>
      <w:r>
        <w:rPr>
          <w:rFonts w:ascii="Arial" w:hAnsi="Arial"/>
          <w:i w:val="0"/>
          <w:color w:val="333333"/>
          <w:sz w:val="20"/>
        </w:rPr>
        <w:t>El módulo Mi Dinero presenta un análisis visual del gasto mensual desglosado por categoría con comparación directa con el mes anterior. La visualización incluye un gráfico de barras dobles por categoría, el total gastado en ambos meses y el porcentaje de variación global e individual. El cliente puede navegar entre los últimos 12 meses. Solo se muestran categorías con al menos un movimiento CARGO en el período. Los importes se presentan en EUR con 2 decimales y alineación tabular.</w:t>
      </w:r>
    </w:p>
    <w:p>
      <w:r>
        <w:rPr>
          <w:rFonts w:ascii="Arial" w:hAnsi="Arial"/>
          <w:b/>
          <w:color w:val="45699E"/>
          <w:sz w:val="20"/>
        </w:rPr>
        <w:t>Reglas de negocio aplicables:</w:t>
      </w:r>
    </w:p>
    <w:p>
      <w:pPr>
        <w:pStyle w:val="ListBullet"/>
        <w:ind w:left="283"/>
      </w:pPr>
      <w:r>
        <w:rPr>
          <w:rFonts w:ascii="Arial" w:hAnsi="Arial"/>
          <w:color w:val="333333"/>
          <w:sz w:val="18"/>
        </w:rPr>
        <w:t>[RN-F023-12] El historial de análisis mensual cubre los últimos 12 meses desde la fecha actual. El selector de mes no permite navegar a períodos fuera de este rango.</w:t>
      </w:r>
    </w:p>
    <w:p>
      <w:pPr>
        <w:pStyle w:val="ListBullet"/>
        <w:ind w:left="283"/>
      </w:pPr>
      <w:r>
        <w:rPr>
          <w:rFonts w:ascii="Arial" w:hAnsi="Arial"/>
          <w:color w:val="333333"/>
          <w:sz w:val="18"/>
        </w:rPr>
        <w:t>[RN-F023-13] En el análisis mensual solo se muestran categorías que tengan al menos un movimiento CARGO en el período seleccionado. Las categorías sin actividad no se representan en los gráficos.</w:t>
      </w:r>
    </w:p>
    <w:p>
      <w:pPr>
        <w:pStyle w:val="ListBullet"/>
        <w:ind w:left="283"/>
      </w:pPr>
      <w:r>
        <w:rPr>
          <w:rFonts w:ascii="Arial" w:hAnsi="Arial"/>
          <w:color w:val="333333"/>
          <w:sz w:val="18"/>
        </w:rPr>
        <w:t>[RN-F023-14] Los importes monetarios en el módulo PFM se presentan en EUR con 2 decimales, separador de miles mediante punto y separador decimal mediante coma. Los elementos de importe usan font-variant-numeric: tabular-nums para alineación vertical (LA-023-02).</w:t>
      </w:r>
    </w:p>
    <w:p>
      <w:pPr>
        <w:pStyle w:val="Heading3"/>
      </w:pPr>
      <w:r>
        <w:rPr>
          <w:rFonts w:ascii="Arial" w:hAnsi="Arial"/>
          <w:color w:val="C84A14"/>
          <w:sz w:val="22"/>
        </w:rPr>
        <w:t>FA-PFM-005 — Widget resumen financiero en dashboard principal</w:t>
      </w:r>
    </w:p>
    <w:p>
      <w:r>
        <w:rPr>
          <w:rFonts w:ascii="Arial" w:hAnsi="Arial"/>
          <w:b/>
          <w:color w:val="B45309"/>
          <w:sz w:val="18"/>
        </w:rPr>
        <w:t>Estado: PLANNED</w:t>
      </w:r>
    </w:p>
    <w:p>
      <w:r>
        <w:rPr>
          <w:rFonts w:ascii="Arial" w:hAnsi="Arial"/>
          <w:i w:val="0"/>
          <w:color w:val="333333"/>
          <w:sz w:val="20"/>
        </w:rPr>
        <w:t>El dashboard principal de BankPortal incorpora un widget de finanzas personales que muestra el gasto total del mes en curso, las tres categorías con mayor importe y un semáforo de estado de los presupuestos (verde: todos por debajo del umbral; naranja: alguno supera el 80%; rojo: alguno excedido). El widget se carga de forma asíncrona para no bloquear el render del dashboard. Si el cliente no tiene presupuestos configurados se muestra un CTA hacia la sección de presupuestos. La navegación usa Router.navigateByUrl() en cumplimiento de LA-023-01.</w:t>
      </w:r>
    </w:p>
    <w:p>
      <w:r>
        <w:rPr>
          <w:rFonts w:ascii="Arial" w:hAnsi="Arial"/>
          <w:b/>
          <w:color w:val="45699E"/>
          <w:sz w:val="20"/>
        </w:rPr>
        <w:t>Reglas de negocio aplicables:</w:t>
      </w:r>
    </w:p>
    <w:p>
      <w:pPr>
        <w:pStyle w:val="ListBullet"/>
        <w:ind w:left="283"/>
      </w:pPr>
      <w:r>
        <w:rPr>
          <w:rFonts w:ascii="Arial" w:hAnsi="Arial"/>
          <w:color w:val="333333"/>
          <w:sz w:val="18"/>
        </w:rPr>
        <w:t>[RN-F023-15] El widget de Mi Dinero en el dashboard se carga de forma asíncrona (llamada independiente al endpoint /api/v1/pfm/summary) para no bloquear el render del dashboard principal. Si la llamada falla el widget muestra un estado degradado sin romper el layout de la página.</w:t>
      </w:r>
    </w:p>
    <w:p>
      <w:pPr>
        <w:pStyle w:val="ListBullet"/>
        <w:ind w:left="283"/>
      </w:pPr>
      <w:r>
        <w:rPr>
          <w:rFonts w:ascii="Arial" w:hAnsi="Arial"/>
          <w:color w:val="333333"/>
          <w:sz w:val="18"/>
        </w:rPr>
        <w:t>[RN-F023-16] Toda navegación interna desde el widget de Mi Dinero en el dashboard usa Router.navigateByUrl() mediante handler (click). Queda expresamente prohibido el uso de [href] para rutas internas Angular (LA-023-01).</w:t>
      </w:r>
    </w:p>
    <w:p>
      <w:pPr>
        <w:pStyle w:val="Heading3"/>
      </w:pPr>
      <w:r>
        <w:rPr>
          <w:rFonts w:ascii="Arial" w:hAnsi="Arial"/>
          <w:color w:val="C84A14"/>
          <w:sz w:val="22"/>
        </w:rPr>
        <w:t>FA-PFM-006 — Edición manual de categoría con aprendizaje de regla</w:t>
      </w:r>
    </w:p>
    <w:p>
      <w:r>
        <w:rPr>
          <w:rFonts w:ascii="Arial" w:hAnsi="Arial"/>
          <w:b/>
          <w:color w:val="B45309"/>
          <w:sz w:val="18"/>
        </w:rPr>
        <w:t>Estado: PLANNED</w:t>
      </w:r>
    </w:p>
    <w:p>
      <w:r>
        <w:rPr>
          <w:rFonts w:ascii="Arial" w:hAnsi="Arial"/>
          <w:i w:val="0"/>
          <w:color w:val="333333"/>
          <w:sz w:val="20"/>
        </w:rPr>
        <w:t>El cliente puede corregir la categoría asignada automáticamente a cualquier movimiento CARGO. Tras la corrección el sistema almacena una regla personalizada que asocia el concepto exacto del movimiento a la nueva categoría, aplicándola automáticamente a futuros movimientos del mismo comercio. Las reglas del usuario tienen prioridad permanente sobre las del sistema. El cliente puede consultar y eliminar sus reglas personalizadas desde la sección de configuración de Mi Dinero. Máximo 50 reglas por usuario.</w:t>
      </w:r>
    </w:p>
    <w:p>
      <w:r>
        <w:rPr>
          <w:rFonts w:ascii="Arial" w:hAnsi="Arial"/>
          <w:b/>
          <w:color w:val="45699E"/>
          <w:sz w:val="20"/>
        </w:rPr>
        <w:t>Reglas de negocio aplicables:</w:t>
      </w:r>
    </w:p>
    <w:p>
      <w:pPr>
        <w:pStyle w:val="ListBullet"/>
        <w:ind w:left="283"/>
      </w:pPr>
      <w:r>
        <w:rPr>
          <w:rFonts w:ascii="Arial" w:hAnsi="Arial"/>
          <w:color w:val="333333"/>
          <w:sz w:val="18"/>
        </w:rPr>
        <w:t>[RN-F023-17] Las reglas de recategorización del usuario se almacenan en la tabla pfm_user_rules con los campos user_id, concept_pattern (texto exacto del concepto del movimiento) y category_code. El concept_pattern es case-insensitive.</w:t>
      </w:r>
    </w:p>
    <w:p>
      <w:pPr>
        <w:pStyle w:val="ListBullet"/>
        <w:ind w:left="283"/>
      </w:pPr>
      <w:r>
        <w:rPr>
          <w:rFonts w:ascii="Arial" w:hAnsi="Arial"/>
          <w:color w:val="333333"/>
          <w:sz w:val="18"/>
        </w:rPr>
        <w:t>[RN-F023-18] Cada usuario puede tener un máximo de 50 reglas de categorización personalizadas activas. Al alcanzar el límite el sistema informa al usuario y requiere eliminar una regla existente antes de crear una nueva.</w:t>
      </w:r>
    </w:p>
    <w:p>
      <w:pPr>
        <w:pStyle w:val="ListBullet"/>
        <w:ind w:left="283"/>
      </w:pPr>
      <w:r>
        <w:rPr>
          <w:rFonts w:ascii="Arial" w:hAnsi="Arial"/>
          <w:color w:val="333333"/>
          <w:sz w:val="18"/>
        </w:rPr>
        <w:t>[RN-F023-19] Solo los movimientos de tipo CARGO son recategorizables entre categorías de gasto. Los movimientos de tipo ABONO (nóminas, ingresos) mantienen su categoría de ingreso y no pueden asignarse a categorías de gasto.</w:t>
      </w:r>
    </w:p>
    <w:p>
      <w:pPr>
        <w:pStyle w:val="Heading3"/>
      </w:pPr>
      <w:r>
        <w:rPr>
          <w:rFonts w:ascii="Arial" w:hAnsi="Arial"/>
          <w:color w:val="C84A14"/>
          <w:sz w:val="22"/>
        </w:rPr>
        <w:t>FA-PFM-007 — Distribución de gasto y ranking de comercios</w:t>
      </w:r>
    </w:p>
    <w:p>
      <w:r>
        <w:rPr>
          <w:rFonts w:ascii="Arial" w:hAnsi="Arial"/>
          <w:b/>
          <w:color w:val="B45309"/>
          <w:sz w:val="18"/>
        </w:rPr>
        <w:t>Estado: PLANNED</w:t>
      </w:r>
    </w:p>
    <w:p>
      <w:r>
        <w:rPr>
          <w:rFonts w:ascii="Arial" w:hAnsi="Arial"/>
          <w:i w:val="0"/>
          <w:color w:val="333333"/>
          <w:sz w:val="20"/>
        </w:rPr>
        <w:t>El módulo Mi Dinero presenta la distribución porcentual del gasto del mes en curso mediante un gráfico de tarta por categoría, excluyendo Transferencias y Nóminas. Adicionalmente muestra el ranking de los 10 comercios donde el cliente concentra mayor importe, unificando movimientos de domiciliaciones (bill_payments) y transacciones de cargo (transactions CARGO). El cliente puede hacer drill-down en cada comercio para ver el detalle de sus transacciones en el período. Esta funcionalidad cierra la deuda técnica DEBT-047.</w:t>
      </w:r>
    </w:p>
    <w:p>
      <w:r>
        <w:rPr>
          <w:rFonts w:ascii="Arial" w:hAnsi="Arial"/>
          <w:b/>
          <w:color w:val="45699E"/>
          <w:sz w:val="20"/>
        </w:rPr>
        <w:t>Reglas de negocio aplicables:</w:t>
      </w:r>
    </w:p>
    <w:p>
      <w:pPr>
        <w:pStyle w:val="ListBullet"/>
        <w:ind w:left="283"/>
      </w:pPr>
      <w:r>
        <w:rPr>
          <w:rFonts w:ascii="Arial" w:hAnsi="Arial"/>
          <w:color w:val="333333"/>
          <w:sz w:val="18"/>
        </w:rPr>
        <w:t>[RN-F023-20] El ranking de top comercios unifica dos fuentes: biller_name de la tabla bill_payments y el primer token de más de 4 caracteres del campo concept de la tabla transactions para movimientos CARGO. Esta regla cierra la deuda técnica DEBT-047 (DashboardJpaAdapter.findTopMerchants).</w:t>
      </w:r>
    </w:p>
    <w:p>
      <w:pPr>
        <w:pStyle w:val="ListBullet"/>
        <w:ind w:left="283"/>
      </w:pPr>
      <w:r>
        <w:rPr>
          <w:rFonts w:ascii="Arial" w:hAnsi="Arial"/>
          <w:color w:val="333333"/>
          <w:sz w:val="18"/>
        </w:rPr>
        <w:t>[RN-F023-21] Se excluyen del ranking de top comercios las transferencias entre cuentas propias del usuario y los pagos a la Administración Pública identificados por los patrones: AEAT, TGSS, SUMA, AGENCIA TRIBUTARIA.</w:t>
      </w:r>
    </w:p>
    <w:p>
      <w:pPr>
        <w:pStyle w:val="ListBullet"/>
        <w:ind w:left="283"/>
      </w:pPr>
      <w:r>
        <w:rPr>
          <w:rFonts w:ascii="Arial" w:hAnsi="Arial"/>
          <w:color w:val="333333"/>
          <w:sz w:val="18"/>
        </w:rPr>
        <w:t>[RN-F023-22] El gráfico de distribución de gasto por categoría utiliza la paleta de colores del design system BankPortal definida en el prototipo UX aprobado en gate HITL PO+TL. El gráfico incluye valores numéricos en texto alternativo para cumplir WCAG 2.1 AA criterio 1.1.1.</w:t>
      </w:r>
    </w:p>
    <w:p>
      <w:r>
        <w:br w:type="page"/>
      </w:r>
    </w:p>
    <w:p>
      <w:bookmarkStart w:id="34" w:name="sprint_26"/>
      <w:pPr>
        <w:pStyle w:val="Heading2"/>
      </w:pPr>
      <w:r>
        <w:rPr>
          <w:rFonts w:ascii="Arial" w:hAnsi="Arial"/>
          <w:color w:val="45699E"/>
          <w:sz w:val="24"/>
        </w:rPr>
        <w:t>4.23  Sprint 26 — FEAT-024</w:t>
      </w:r>
      <w:bookmarkEnd w:id="34"/>
    </w:p>
    <w:p>
      <w:r>
        <w:rPr>
          <w:rFonts w:ascii="Arial" w:hAnsi="Arial"/>
          <w:i/>
          <w:color w:val="45699E"/>
          <w:sz w:val="16"/>
        </w:rPr>
        <w:t>Evidencia: SRS-FEAT-024-sprint26.md · US-024-05, SRS-FEAT-024-sprint26.md · US-024-04, SRS-FEAT-024-sprint26.md · US-024-07, SRS-FEAT-024-sprint26.md · US-024-08, SRS-FEAT-024-sprint26.md · US-024-01, SRS-FEAT-024-sprint26.md · US-024-02, SRS-FEAT-024-sprint26.md · US-024-06, SRS-FEAT-024-sprint26.md · US-024-03</w:t>
      </w:r>
    </w:p>
    <w:p>
      <w:pPr>
        <w:pStyle w:val="Heading3"/>
      </w:pPr>
      <w:r>
        <w:rPr>
          <w:rFonts w:ascii="Arial" w:hAnsi="Arial"/>
          <w:color w:val="C84A14"/>
          <w:sz w:val="22"/>
        </w:rPr>
        <w:t>FA-SAV-001 — Creación de objetivo de ahorro con propósito</w:t>
      </w:r>
    </w:p>
    <w:p>
      <w:r>
        <w:rPr>
          <w:rFonts w:ascii="Arial" w:hAnsi="Arial"/>
          <w:b/>
          <w:color w:val="B45309"/>
          <w:sz w:val="18"/>
        </w:rPr>
        <w:t>Estado: PLANNED</w:t>
      </w:r>
    </w:p>
    <w:p>
      <w:r>
        <w:rPr>
          <w:rFonts w:ascii="Arial" w:hAnsi="Arial"/>
          <w:i w:val="0"/>
          <w:color w:val="333333"/>
          <w:sz w:val="20"/>
        </w:rPr>
        <w:t>El cliente Banco Meridian autenticado puede crear hasta 10 objetivos de ahorro activos simultáneamente. Cada objetivo se define con un nombre descriptivo, un importe target entre 100€ y 500.000€, una fecha límite entre 30 días y 30 años desde hoy, una categoría predefinida (Viaje, Hogar, Vehículo, Emergencia, Educación) o categoría personalizada (máximo 50 caracteres) y elementos visuales (icono y color) para identificarlo en el dashboard. La creación inicializa el objetivo en estado ACTIVE con importe reservado a cero. La feature posiciona BankPortal frente a competidores neobancarios (N26 Spaces, Revolut Goals, Monzo Pots) ofreciendo equivalencia funcional sin necesidad de apps de terceros.</w:t>
      </w:r>
    </w:p>
    <w:p>
      <w:r>
        <w:rPr>
          <w:rFonts w:ascii="Arial" w:hAnsi="Arial"/>
          <w:b/>
          <w:color w:val="45699E"/>
          <w:sz w:val="20"/>
        </w:rPr>
        <w:t>Reglas de negocio aplicables:</w:t>
      </w:r>
    </w:p>
    <w:p>
      <w:pPr>
        <w:pStyle w:val="ListBullet"/>
        <w:ind w:left="283"/>
      </w:pPr>
      <w:r>
        <w:rPr>
          <w:rFonts w:ascii="Arial" w:hAnsi="Arial"/>
          <w:color w:val="333333"/>
          <w:sz w:val="18"/>
        </w:rPr>
        <w:t>[RN-F024-01] El importe target de un objetivo de ahorro debe estar comprendido entre 100€ y 500.000€. La fecha límite debe ser posterior al día actual más 30 días y anterior a 30 años.</w:t>
      </w:r>
    </w:p>
    <w:p>
      <w:pPr>
        <w:pStyle w:val="ListBullet"/>
        <w:ind w:left="283"/>
      </w:pPr>
      <w:r>
        <w:rPr>
          <w:rFonts w:ascii="Arial" w:hAnsi="Arial"/>
          <w:color w:val="333333"/>
          <w:sz w:val="18"/>
        </w:rPr>
        <w:t>[RN-F024-02] Cada cliente puede tener un máximo de 10 objetivos en estado ACTIVE simultáneamente. Los objetivos en estado PAUSED, CLOSED o COMPLETED no cuentan a este límite.</w:t>
      </w:r>
    </w:p>
    <w:p>
      <w:pPr>
        <w:pStyle w:val="ListBullet"/>
        <w:ind w:left="283"/>
      </w:pPr>
      <w:r>
        <w:rPr>
          <w:rFonts w:ascii="Arial" w:hAnsi="Arial"/>
          <w:color w:val="333333"/>
          <w:sz w:val="18"/>
        </w:rPr>
        <w:t>[RN-F024-07] Las categorías de objetivo permitidas son: VIAJE, HOGAR, VEHICULO, EMERGENCIA, EDUCACION y OTROS. La categoría OTROS admite un texto personalizado customCategory de hasta 50 caracteres.</w:t>
      </w:r>
    </w:p>
    <w:p>
      <w:pPr>
        <w:pStyle w:val="Heading3"/>
      </w:pPr>
      <w:r>
        <w:rPr>
          <w:rFonts w:ascii="Arial" w:hAnsi="Arial"/>
          <w:color w:val="C84A14"/>
          <w:sz w:val="22"/>
        </w:rPr>
        <w:t>FA-SAV-002 — Listado de objetivos con progreso y proyección</w:t>
      </w:r>
    </w:p>
    <w:p>
      <w:r>
        <w:rPr>
          <w:rFonts w:ascii="Arial" w:hAnsi="Arial"/>
          <w:b/>
          <w:color w:val="B45309"/>
          <w:sz w:val="18"/>
        </w:rPr>
        <w:t>Estado: PLANNED</w:t>
      </w:r>
    </w:p>
    <w:p>
      <w:r>
        <w:rPr>
          <w:rFonts w:ascii="Arial" w:hAnsi="Arial"/>
          <w:i w:val="0"/>
          <w:color w:val="333333"/>
          <w:sz w:val="20"/>
        </w:rPr>
        <w:t>El cliente visualiza todos sus objetivos de ahorro activos con barra de progreso porcentual (importe reservado/target), proyección de fecha real de cumplimiento al ritmo actual de aportación e indicador visual de riesgo cuando la fecha proyectada supera la fecha límite establecida. En caso de proyección desfavorable el sistema sugiere automáticamente la aportación mensual recalculada necesaria para cumplir la meta en plazo. Los objetivos se ordenan por fecha de creación descendente. El cliente puede filtrar por estado (ACTIVE, PAUSED, CLOSED) cumpliendo GDPR Art.15 de derecho de acceso a histórico.</w:t>
      </w:r>
    </w:p>
    <w:p>
      <w:r>
        <w:rPr>
          <w:rFonts w:ascii="Arial" w:hAnsi="Arial"/>
          <w:b/>
          <w:color w:val="45699E"/>
          <w:sz w:val="20"/>
        </w:rPr>
        <w:t>Reglas de negocio aplicables:</w:t>
      </w:r>
    </w:p>
    <w:p>
      <w:pPr>
        <w:pStyle w:val="ListBullet"/>
        <w:ind w:left="283"/>
      </w:pPr>
      <w:r>
        <w:rPr>
          <w:rFonts w:ascii="Arial" w:hAnsi="Arial"/>
          <w:color w:val="333333"/>
          <w:sz w:val="18"/>
        </w:rPr>
        <w:t>[RN-F024-08] La proyección de fecha de cumplimiento se calcula al ritmo actual de aportaciones (media móvil). Si la fecha proyectada supera la fecha límite el campo projectionRisk se marca true y la respuesta incluye suggestedMonthlyContribution recalculado para cumplir en plazo.</w:t>
      </w:r>
    </w:p>
    <w:p>
      <w:pPr>
        <w:pStyle w:val="Heading3"/>
      </w:pPr>
      <w:r>
        <w:rPr>
          <w:rFonts w:ascii="Arial" w:hAnsi="Arial"/>
          <w:color w:val="C84A14"/>
          <w:sz w:val="22"/>
        </w:rPr>
        <w:t>FA-SAV-003 — Detalle de objetivo con histórico de aportaciones e hitos</w:t>
      </w:r>
    </w:p>
    <w:p>
      <w:r>
        <w:rPr>
          <w:rFonts w:ascii="Arial" w:hAnsi="Arial"/>
          <w:b/>
          <w:color w:val="B45309"/>
          <w:sz w:val="18"/>
        </w:rPr>
        <w:t>Estado: PLANNED</w:t>
      </w:r>
    </w:p>
    <w:p>
      <w:r>
        <w:rPr>
          <w:rFonts w:ascii="Arial" w:hAnsi="Arial"/>
          <w:i w:val="0"/>
          <w:color w:val="333333"/>
          <w:sz w:val="20"/>
        </w:rPr>
        <w:t>El cliente accede al detalle completo de cualquiera de sus objetivos de ahorro mostrando metadatos (nombre, target, fecha, categoría), histórico paginado de aportaciones realizadas (manuales y automáticas, ordenadas por fecha descendente), hitos alcanzados (25%, 50%, 75%, 100%) con su fecha de logro, y configuración de la regla de aportación automática si existe. El sistema impide acceso a objetivos de otros usuarios mediante enforcement de ownership devolviendo 403 sin revelar la existencia del recurso. La paginación del histórico de aportaciones soporta volúmenes superiores a 50 entradas.</w:t>
      </w:r>
    </w:p>
    <w:p>
      <w:r>
        <w:rPr>
          <w:rFonts w:ascii="Arial" w:hAnsi="Arial"/>
          <w:b/>
          <w:color w:val="45699E"/>
          <w:sz w:val="20"/>
        </w:rPr>
        <w:t>Reglas de negocio aplicables:</w:t>
      </w:r>
    </w:p>
    <w:p>
      <w:pPr>
        <w:pStyle w:val="ListBullet"/>
        <w:ind w:left="283"/>
      </w:pPr>
      <w:r>
        <w:rPr>
          <w:rFonts w:ascii="Arial" w:hAnsi="Arial"/>
          <w:color w:val="333333"/>
          <w:sz w:val="18"/>
        </w:rPr>
        <w:t>[RN-F024-10] Conforme a GDPR Art.15 (derecho de acceso) y Art.17 (derecho al olvido), los objetivos de ahorro y aportaciones se incluyen en el export de datos personales (FEAT-019). El cierre de un objetivo aplica soft-delete preservando el registro 7 años por obligación contable y fiscal.</w:t>
      </w:r>
    </w:p>
    <w:p>
      <w:pPr>
        <w:pStyle w:val="Heading3"/>
      </w:pPr>
      <w:r>
        <w:rPr>
          <w:rFonts w:ascii="Arial" w:hAnsi="Arial"/>
          <w:color w:val="C84A14"/>
          <w:sz w:val="22"/>
        </w:rPr>
        <w:t>FA-SAV-004 — Aportación manual puntual a objetivo</w:t>
      </w:r>
    </w:p>
    <w:p>
      <w:r>
        <w:rPr>
          <w:rFonts w:ascii="Arial" w:hAnsi="Arial"/>
          <w:b/>
          <w:color w:val="B45309"/>
          <w:sz w:val="18"/>
        </w:rPr>
        <w:t>Estado: PLANNED</w:t>
      </w:r>
    </w:p>
    <w:p>
      <w:r>
        <w:rPr>
          <w:rFonts w:ascii="Arial" w:hAnsi="Arial"/>
          <w:i w:val="0"/>
          <w:color w:val="333333"/>
          <w:sz w:val="20"/>
        </w:rPr>
        <w:t>El cliente puede transferir un importe puntual entre 10€ y 5.000€ desde cualquiera de sus cuentas de origen elegibles hacia un objetivo de ahorro activo. La operación aplica segregación virtual de fondos: el importe reservado del objetivo aumenta, el saldo disponible (availableBalance) de la cuenta origen disminuye, pero el saldo contable (ledgerBalance) NO cambia. El sistema valida saldo suficiente antes de aceptar la operación, rechaza importes que harían superar el target del objetivo y normaliza signos en respuesta (siempre positivos en serialización JSON, aplicando Math.abs server-side conforme a LA-CORE-055). Toda aportación queda registrada en el audit log con actor, importe, cuenta origen y timestamp.</w:t>
      </w:r>
    </w:p>
    <w:p>
      <w:r>
        <w:rPr>
          <w:rFonts w:ascii="Arial" w:hAnsi="Arial"/>
          <w:b/>
          <w:color w:val="45699E"/>
          <w:sz w:val="20"/>
        </w:rPr>
        <w:t>Reglas de negocio aplicables:</w:t>
      </w:r>
    </w:p>
    <w:p>
      <w:pPr>
        <w:pStyle w:val="ListBullet"/>
        <w:ind w:left="283"/>
      </w:pPr>
      <w:r>
        <w:rPr>
          <w:rFonts w:ascii="Arial" w:hAnsi="Arial"/>
          <w:color w:val="333333"/>
          <w:sz w:val="18"/>
        </w:rPr>
        <w:t>[RN-F024-03] El importe de una aportación manual debe estar comprendido entre 10€ y 5.000€. Importes fuera de este rango se rechazan con código AMOUNT_OUT_OF_RANGE.</w:t>
      </w:r>
    </w:p>
    <w:p>
      <w:pPr>
        <w:pStyle w:val="ListBullet"/>
        <w:ind w:left="283"/>
      </w:pPr>
      <w:r>
        <w:rPr>
          <w:rFonts w:ascii="Arial" w:hAnsi="Arial"/>
          <w:color w:val="333333"/>
          <w:sz w:val="18"/>
        </w:rPr>
        <w:t>[RN-F024-05] Los fondos asignados a un objetivo se segregan virtualmente (decisión arquitectónica ADR-040, opción α). El importe reservado afecta al saldo disponible (availableBalance) de la cuenta origen pero NO al saldo contable (ledgerBalance). La cuenta sigue siendo legalmente del cliente y los fondos no constituyen depósito a plazo regulado.</w:t>
      </w:r>
    </w:p>
    <w:p>
      <w:pPr>
        <w:pStyle w:val="ListBullet"/>
        <w:ind w:left="283"/>
      </w:pPr>
      <w:r>
        <w:rPr>
          <w:rFonts w:ascii="Arial" w:hAnsi="Arial"/>
          <w:color w:val="333333"/>
          <w:sz w:val="18"/>
        </w:rPr>
        <w:t>[RN-F024-15] El saldo disponible (availableBalance) de una cuenta resta de su saldo contable la suma de importes reservados de todos los objetivos ACTIVE que tengan esta cuenta como origen. Esta resta se calcula en tiempo real y se refleja en consultas de saldo y operaciones que validen disponibilidad.</w:t>
      </w:r>
    </w:p>
    <w:p>
      <w:pPr>
        <w:pStyle w:val="Heading3"/>
      </w:pPr>
      <w:r>
        <w:rPr>
          <w:rFonts w:ascii="Arial" w:hAnsi="Arial"/>
          <w:color w:val="C84A14"/>
          <w:sz w:val="22"/>
        </w:rPr>
        <w:t>FA-SAV-005 — Aportación automática mensual recurrente</w:t>
      </w:r>
    </w:p>
    <w:p>
      <w:r>
        <w:rPr>
          <w:rFonts w:ascii="Arial" w:hAnsi="Arial"/>
          <w:b/>
          <w:color w:val="B45309"/>
          <w:sz w:val="18"/>
        </w:rPr>
        <w:t>Estado: PLANNED</w:t>
      </w:r>
    </w:p>
    <w:p>
      <w:r>
        <w:rPr>
          <w:rFonts w:ascii="Arial" w:hAnsi="Arial"/>
          <w:i w:val="0"/>
          <w:color w:val="333333"/>
          <w:sz w:val="20"/>
        </w:rPr>
        <w:t>El cliente puede configurar para cada objetivo de ahorro una regla de aportación automática mensual indicando importe entre 10€ y 5.000€, día del mes (1-28 para evitar meses cortos) y cuenta origen. El scheduler del sistema ejecuta las reglas activas en ventana 02:00-06:00 UTC del día configurado, con garantía de idempotencia (una sola aportación efectiva por objetivo y mes mediante constraint UK goal_id+allocation_month). Ante saldo insuficiente la aportación se marca como FAILED, se notifica al cliente vía push y la regla sigue activa para el siguiente ciclo sin reintento inmediato. Ante fallo técnico (timeout corebanking) el sistema aplica reintentos con backoff exponencial 1m/5m/15m antes de marcar FAILED. Reutiliza el motor de aportaciones de FEAT-015 y elimina la configuración cuando el objetivo se cierra.</w:t>
      </w:r>
    </w:p>
    <w:p>
      <w:r>
        <w:rPr>
          <w:rFonts w:ascii="Arial" w:hAnsi="Arial"/>
          <w:b/>
          <w:color w:val="45699E"/>
          <w:sz w:val="20"/>
        </w:rPr>
        <w:t>Reglas de negocio aplicables:</w:t>
      </w:r>
    </w:p>
    <w:p>
      <w:pPr>
        <w:pStyle w:val="ListBullet"/>
        <w:ind w:left="283"/>
      </w:pPr>
      <w:r>
        <w:rPr>
          <w:rFonts w:ascii="Arial" w:hAnsi="Arial"/>
          <w:color w:val="333333"/>
          <w:sz w:val="18"/>
        </w:rPr>
        <w:t>[RN-F024-04] Si en una ejecución de aportación automática el saldo disponible de la cuenta origen es insuficiente, la aportación se marca como FAILED, se notifica al cliente y la regla sigue activa para el ciclo siguiente sin reintento inmediato en ese mes.</w:t>
      </w:r>
    </w:p>
    <w:p>
      <w:pPr>
        <w:pStyle w:val="ListBullet"/>
        <w:ind w:left="283"/>
      </w:pPr>
      <w:r>
        <w:rPr>
          <w:rFonts w:ascii="Arial" w:hAnsi="Arial"/>
          <w:color w:val="333333"/>
          <w:sz w:val="18"/>
        </w:rPr>
        <w:t>[RN-F024-13] El scheduler de aportaciones automáticas se ejecuta en ventana horaria 02:00-06:00 UTC del día configurado en cada regla. El día del mes admisible para la regla está restringido al rango [1..28] para evitar inconsistencias en meses con menos de 31 días.</w:t>
      </w:r>
    </w:p>
    <w:p>
      <w:pPr>
        <w:pStyle w:val="ListBullet"/>
        <w:ind w:left="283"/>
      </w:pPr>
      <w:r>
        <w:rPr>
          <w:rFonts w:ascii="Arial" w:hAnsi="Arial"/>
          <w:color w:val="333333"/>
          <w:sz w:val="18"/>
        </w:rPr>
        <w:t>[RN-F024-14] Ante fallo técnico de comunicación con CoreBanking durante una aportación automática (timeouts, errores de red), el sistema aplica reintentos con backoff exponencial 1m/5m/15m. Si los tres reintentos fallan la aportación queda en estado FAILED con razón TECHNICAL_ERROR.</w:t>
      </w:r>
    </w:p>
    <w:p>
      <w:pPr>
        <w:pStyle w:val="Heading3"/>
      </w:pPr>
      <w:r>
        <w:rPr>
          <w:rFonts w:ascii="Arial" w:hAnsi="Arial"/>
          <w:color w:val="C84A14"/>
          <w:sz w:val="22"/>
        </w:rPr>
        <w:t>FA-SAV-006 — Edición pausa y cierre de objetivo con devolución</w:t>
      </w:r>
    </w:p>
    <w:p>
      <w:r>
        <w:rPr>
          <w:rFonts w:ascii="Arial" w:hAnsi="Arial"/>
          <w:b/>
          <w:color w:val="B45309"/>
          <w:sz w:val="18"/>
        </w:rPr>
        <w:t>Estado: PLANNED</w:t>
      </w:r>
    </w:p>
    <w:p>
      <w:r>
        <w:rPr>
          <w:rFonts w:ascii="Arial" w:hAnsi="Arial"/>
          <w:i w:val="0"/>
          <w:color w:val="333333"/>
          <w:sz w:val="20"/>
        </w:rPr>
        <w:t>El cliente puede modificar el nombre, importe target y fecha límite de un objetivo activo siempre que el nuevo target no sea inferior al importe ya reservado. Puede pausar la regla de aportación automática manteniendo el progreso, o cerrar el objetivo provocando la devolución íntegra del importe reservado a su cuenta origen original (o cuenta primaria si la original ya no existe). La devolución es t+0 (instantánea). Devoluciones superiores a 30€ requieren autenticación reforzada PSD2-SCA mediante segundo factor (FEAT-001 2FA), aplicando el principio de proporcionalidad regulatorio. Los objetivos cerrados se preservan 7 años por obligación contable y fiscal (no eliminación física), permaneciendo accesibles para ejercicio del derecho GDPR Art.15.</w:t>
      </w:r>
    </w:p>
    <w:p>
      <w:r>
        <w:rPr>
          <w:rFonts w:ascii="Arial" w:hAnsi="Arial"/>
          <w:b/>
          <w:color w:val="45699E"/>
          <w:sz w:val="20"/>
        </w:rPr>
        <w:t>Reglas de negocio aplicables:</w:t>
      </w:r>
    </w:p>
    <w:p>
      <w:pPr>
        <w:pStyle w:val="ListBullet"/>
        <w:ind w:left="283"/>
      </w:pPr>
      <w:r>
        <w:rPr>
          <w:rFonts w:ascii="Arial" w:hAnsi="Arial"/>
          <w:color w:val="333333"/>
          <w:sz w:val="18"/>
        </w:rPr>
        <w:t>[RN-F024-06] Al cerrar un objetivo el importe reservado se devuelve t+0 (instantáneo) a la cuenta de origen de la última aportación. Si esa cuenta ya no existe se utiliza la cuenta primaria del cliente.</w:t>
      </w:r>
    </w:p>
    <w:p>
      <w:pPr>
        <w:pStyle w:val="ListBullet"/>
        <w:ind w:left="283"/>
      </w:pPr>
      <w:r>
        <w:rPr>
          <w:rFonts w:ascii="Arial" w:hAnsi="Arial"/>
          <w:color w:val="333333"/>
          <w:sz w:val="18"/>
        </w:rPr>
        <w:t>[RN-F024-11] Toda devolución de fondos al cerrar un objetivo cuyo importe sea superior a 30€ requiere autenticación reforzada (Strong Customer Authentication) conforme a PSD2 Art.97, mediante segundo factor del sistema 2FA (FEAT-001).</w:t>
      </w:r>
    </w:p>
    <w:p>
      <w:pPr>
        <w:pStyle w:val="ListBullet"/>
        <w:ind w:left="283"/>
      </w:pPr>
      <w:r>
        <w:rPr>
          <w:rFonts w:ascii="Arial" w:hAnsi="Arial"/>
          <w:color w:val="333333"/>
          <w:sz w:val="18"/>
        </w:rPr>
        <w:t>[RN-F024-12] Los objetivos en estado CLOSED se preservan en base de datos durante 7 años por obligación contable y fiscal. No se permite la eliminación física de objetivos cerrados antes de ese plazo.</w:t>
      </w:r>
    </w:p>
    <w:p>
      <w:pPr>
        <w:pStyle w:val="Heading3"/>
      </w:pPr>
      <w:r>
        <w:rPr>
          <w:rFonts w:ascii="Arial" w:hAnsi="Arial"/>
          <w:color w:val="C84A14"/>
          <w:sz w:val="22"/>
        </w:rPr>
        <w:t>FA-SAV-007 — Notificaciones push de hitos de progreso</w:t>
      </w:r>
    </w:p>
    <w:p>
      <w:r>
        <w:rPr>
          <w:rFonts w:ascii="Arial" w:hAnsi="Arial"/>
          <w:b/>
          <w:color w:val="B45309"/>
          <w:sz w:val="18"/>
        </w:rPr>
        <w:t>Estado: PLANNED</w:t>
      </w:r>
    </w:p>
    <w:p>
      <w:r>
        <w:rPr>
          <w:rFonts w:ascii="Arial" w:hAnsi="Arial"/>
          <w:i w:val="0"/>
          <w:color w:val="333333"/>
          <w:sz w:val="20"/>
        </w:rPr>
        <w:t>El sistema emite notificaciones push (web push VAPID heredando FEAT-014) cuando el progreso de un objetivo cruza los hitos 25%, 50%, 75% y 100%. Cada hito se materializa en una entrada idempotente en la tabla de hitos (constraint UK goal_id+percent), garantizando que reaperturas o re-aportaciones que vuelvan a cruzar el umbral no generan duplicados. La notificación de hito 100% incluye un call-to-action específico que dirige al usuario al flujo de cierre con devolución de fondos. Si el cliente no tiene suscripción push activa se registra el hito en auditoría y se añade al historial de notificaciones (FEAT-004) sin emitir push, evitando ruido en logs. No hay retroactividad: hitos alcanzados antes de suscribirse no se reenvían.</w:t>
      </w:r>
    </w:p>
    <w:p>
      <w:r>
        <w:rPr>
          <w:rFonts w:ascii="Arial" w:hAnsi="Arial"/>
          <w:b/>
          <w:color w:val="45699E"/>
          <w:sz w:val="20"/>
        </w:rPr>
        <w:t>Reglas de negocio aplicables:</w:t>
      </w:r>
    </w:p>
    <w:p>
      <w:pPr>
        <w:pStyle w:val="ListBullet"/>
        <w:ind w:left="283"/>
      </w:pPr>
      <w:r>
        <w:rPr>
          <w:rFonts w:ascii="Arial" w:hAnsi="Arial"/>
          <w:color w:val="333333"/>
          <w:sz w:val="18"/>
        </w:rPr>
        <w:t>[RN-F024-09] Cada hito de progreso (25%, 50%, 75%, 100%) emite como máximo una notificación push por objetivo. La idempotencia se garantiza mediante constraint UNIQUE (goal_id, percent) en la tabla goal_milestones.</w:t>
      </w:r>
    </w:p>
    <w:p>
      <w:pPr>
        <w:pStyle w:val="Heading3"/>
      </w:pPr>
      <w:r>
        <w:rPr>
          <w:rFonts w:ascii="Arial" w:hAnsi="Arial"/>
          <w:color w:val="C84A14"/>
          <w:sz w:val="22"/>
        </w:rPr>
        <w:t>FA-SAV-008 — Widget Mi ahorro en dashboard</w:t>
      </w:r>
    </w:p>
    <w:p>
      <w:r>
        <w:rPr>
          <w:rFonts w:ascii="Arial" w:hAnsi="Arial"/>
          <w:b/>
          <w:color w:val="B45309"/>
          <w:sz w:val="18"/>
        </w:rPr>
        <w:t>Estado: PLANNED</w:t>
      </w:r>
    </w:p>
    <w:p>
      <w:r>
        <w:rPr>
          <w:rFonts w:ascii="Arial" w:hAnsi="Arial"/>
          <w:i w:val="0"/>
          <w:color w:val="333333"/>
          <w:sz w:val="20"/>
        </w:rPr>
        <w:t>El dashboard de inicio del cliente incorpora un widget Mi ahorro que muestra de forma agregada el importe total reservado en todos los objetivos activos, las aportaciones realizadas en el mes en curso, el número de objetivos activos y el próximo hito por alcanzar (objetivo y porcentaje). Si el cliente no tiene objetivos activos el widget muestra un call-to-action para crear el primero. El cliente puede ocultar el widget desde la configuración de dashboard sin afectar al resto de funcionalidades. El widget cumple WCAG 2.1 AA y tiene un objetivo de latencia p95 inferior a 200 ms para no degradar la carga del dashboard.</w:t>
      </w:r>
    </w:p>
    <w:p>
      <w:r>
        <w:rPr>
          <w:rFonts w:ascii="Arial" w:hAnsi="Arial"/>
          <w:b/>
          <w:color w:val="45699E"/>
          <w:sz w:val="20"/>
        </w:rPr>
        <w:t>Reglas de negocio aplicables:</w:t>
      </w:r>
    </w:p>
    <w:p>
      <w:pPr>
        <w:pStyle w:val="ListBullet"/>
        <w:ind w:left="283"/>
      </w:pPr>
      <w:r>
        <w:rPr>
          <w:rFonts w:ascii="Arial" w:hAnsi="Arial"/>
          <w:color w:val="333333"/>
          <w:sz w:val="18"/>
        </w:rPr>
        <w:t>[RN-F024-05] Los fondos asignados a un objetivo se segregan virtualmente (decisión arquitectónica ADR-040, opción α). El importe reservado afecta al saldo disponible (availableBalance) de la cuenta origen pero NO al saldo contable (ledgerBalance). La cuenta sigue siendo legalmente del cliente y los fondos no constituyen depósito a plazo regulado.</w:t>
      </w:r>
    </w:p>
    <w:p>
      <w:pPr>
        <w:pStyle w:val="ListBullet"/>
        <w:ind w:left="283"/>
      </w:pPr>
      <w:r>
        <w:rPr>
          <w:rFonts w:ascii="Arial" w:hAnsi="Arial"/>
          <w:color w:val="333333"/>
          <w:sz w:val="18"/>
        </w:rPr>
        <w:t>[RN-F024-09] Cada hito de progreso (25%, 50%, 75%, 100%) emite como máximo una notificación push por objetivo. La idempotencia se garantiza mediante constraint UNIQUE (goal_id, percent) en la tabla goal_milestones.</w:t>
      </w:r>
    </w:p>
    <w:p>
      <w:r>
        <w:br w:type="page"/>
      </w:r>
    </w:p>
    <w:p>
      <w:bookmarkStart w:id="35" w:name="sprint_5+8"/>
      <w:pPr>
        <w:pStyle w:val="Heading2"/>
      </w:pPr>
      <w:r>
        <w:rPr>
          <w:rFonts w:ascii="Arial" w:hAnsi="Arial"/>
          <w:color w:val="45699E"/>
          <w:sz w:val="24"/>
        </w:rPr>
        <w:t>4.24  Sprint 5+8 — FEAT-004</w:t>
      </w:r>
      <w:bookmarkEnd w:id="35"/>
    </w:p>
    <w:p>
      <w:r>
        <w:rPr>
          <w:rFonts w:ascii="Arial" w:hAnsi="Arial"/>
          <w:i/>
          <w:color w:val="B45309"/>
          <w:sz w:val="16"/>
        </w:rPr>
        <w:t>Evidencia: RECONSTRUIDO</w:t>
      </w:r>
    </w:p>
    <w:p>
      <w:pPr>
        <w:pStyle w:val="Heading3"/>
      </w:pPr>
      <w:r>
        <w:rPr>
          <w:rFonts w:ascii="Arial" w:hAnsi="Arial"/>
          <w:color w:val="C84A14"/>
          <w:sz w:val="22"/>
        </w:rPr>
        <w:t>FA-004-A — Historial de Notificaciones de Seguridad</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[RN-F004-01] Las notificaciones de seguridad se retienen durante 90 días</w:t>
      </w:r>
    </w:p>
    <w:p>
      <w:pPr>
        <w:pStyle w:val="ListBullet"/>
        <w:ind w:left="283"/>
      </w:pPr>
      <w:r>
        <w:rPr>
          <w:rFonts w:ascii="Arial" w:hAnsi="Arial"/>
          <w:color w:val="333333"/>
          <w:sz w:val="18"/>
        </w:rPr>
        <w:t>[RN-F004-02] Las notificaciones de severidad ALTA (login sospechoso, bloqueo) no pueden desactivarse</w:t>
      </w:r>
    </w:p>
    <w:p>
      <w:pPr>
        <w:pStyle w:val="Heading3"/>
      </w:pPr>
      <w:r>
        <w:rPr>
          <w:rFonts w:ascii="Arial" w:hAnsi="Arial"/>
          <w:color w:val="C84A14"/>
          <w:sz w:val="22"/>
        </w:rPr>
        <w:t>FA-004-B — Gestión de Notificaciones (Leídas/No Leídas)</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[RN-F004-03] Marcar una notificación como leída NO elimina el registro del audit_log</w:t>
      </w:r>
    </w:p>
    <w:p>
      <w:pPr>
        <w:pStyle w:val="ListBullet"/>
        <w:ind w:left="283"/>
      </w:pPr>
      <w:r>
        <w:rPr>
          <w:rFonts w:ascii="Arial" w:hAnsi="Arial"/>
          <w:color w:val="333333"/>
          <w:sz w:val="18"/>
        </w:rPr>
        <w:t>[RN-F004-04] El badge de notificaciones no leídas se actualiza en tiempo real</w:t>
      </w:r>
    </w:p>
    <w:p>
      <w:pPr>
        <w:pStyle w:val="Heading3"/>
      </w:pPr>
      <w:r>
        <w:rPr>
          <w:rFonts w:ascii="Arial" w:hAnsi="Arial"/>
          <w:color w:val="C84A14"/>
          <w:sz w:val="22"/>
        </w:rPr>
        <w:t>FA-004-C — Acciones Directas desde Notificación</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[RN-F004-05] Las acciones directas desde notificación requieren sesión activa del cliente</w:t>
      </w:r>
    </w:p>
    <w:p>
      <w:pPr>
        <w:pStyle w:val="Heading3"/>
      </w:pPr>
      <w:r>
        <w:rPr>
          <w:rFonts w:ascii="Arial" w:hAnsi="Arial"/>
          <w:color w:val="C84A14"/>
          <w:sz w:val="22"/>
        </w:rPr>
        <w:t>FA-004-D — Preferencias de Notificación por Canal</w:t>
      </w:r>
    </w:p>
    <w:p>
      <w:r>
        <w:rPr>
          <w:rFonts w:ascii="Arial" w:hAnsi="Arial"/>
          <w:b/>
          <w:color w:val="1A5C2A"/>
          <w:sz w:val="18"/>
        </w:rPr>
        <w:t>Estado: DELIVERED</w:t>
      </w:r>
    </w:p>
    <w:p>
      <w:r>
        <w:rPr>
          <w:rFonts w:ascii="Arial" w:hAnsi="Arial"/>
          <w:i w:val="0"/>
          <w:color w:val="333333"/>
          <w:sz w:val="20"/>
        </w:rPr>
        <w:t>—</w:t>
      </w:r>
    </w:p>
    <w:p>
      <w:r>
        <w:rPr>
          <w:rFonts w:ascii="Arial" w:hAnsi="Arial"/>
          <w:b/>
          <w:color w:val="45699E"/>
          <w:sz w:val="20"/>
        </w:rPr>
        <w:t>Reglas de negocio aplicables:</w:t>
      </w:r>
    </w:p>
    <w:p>
      <w:pPr>
        <w:pStyle w:val="ListBullet"/>
        <w:ind w:left="283"/>
      </w:pPr>
      <w:r>
        <w:rPr>
          <w:rFonts w:ascii="Arial" w:hAnsi="Arial"/>
          <w:color w:val="333333"/>
          <w:sz w:val="18"/>
        </w:rPr>
        <w:t>[RN-F004-06] Los eventos ACCOUNT_LOCKED y LOGIN_NEW_CONTEXT_DETECTED no pueden desactivarse</w:t>
      </w:r>
    </w:p>
    <w:p>
      <w:pPr>
        <w:pStyle w:val="ListBullet"/>
        <w:ind w:left="283"/>
      </w:pPr>
      <w:r>
        <w:rPr>
          <w:rFonts w:ascii="Arial" w:hAnsi="Arial"/>
          <w:color w:val="333333"/>
          <w:sz w:val="18"/>
        </w:rPr>
        <w:t>[RN-F004-07] La configuración de canales es independiente por tipo de evento (email/push/in-app)</w:t>
      </w:r>
    </w:p>
    <w:p>
      <w:r>
        <w:br w:type="page"/>
      </w:r>
    </w:p>
    <w:p>
      <w:bookmarkStart w:id="36" w:name="sec5"/>
      <w:pPr>
        <w:pStyle w:val="Heading1"/>
      </w:pPr>
      <w:r>
        <w:rPr>
          <w:rFonts w:ascii="Arial" w:hAnsi="Arial"/>
          <w:color w:val="1B3A6B"/>
          <w:sz w:val="28"/>
        </w:rPr>
        <w:t>5. REGLAS DE NEGOCIO CONSOLIDADAS</w:t>
      </w:r>
      <w:bookmarkEnd w:id="36"/>
    </w:p>
    <w:p>
      <w:r>
        <w:rPr>
          <w:rFonts w:ascii="Arial" w:hAnsi="Arial"/>
          <w:i w:val="0"/>
          <w:color w:val="333333"/>
          <w:sz w:val="20"/>
        </w:rPr>
        <w:t>Catálogo consolidado de 246 reglas de negocio agrupadas por módulo.</w:t>
      </w:r>
    </w:p>
    <w:p>
      <w:pPr>
        <w:pStyle w:val="Heading2"/>
      </w:pPr>
      <w:r>
        <w:rPr>
          <w:rFonts w:ascii="Arial" w:hAnsi="Arial"/>
          <w:color w:val="45699E"/>
          <w:sz w:val="24"/>
        </w:rPr>
        <w:t xml:space="preserve">  PFM</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Categorización por ILIKE sobre campo concept del movimiento contra tabla pfm_category_rules. Reglas del usuario (pfm_user_rules) tienen prioridad sobre reglas del sistema.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Solo movimientos de tipo CARGO se incluyen en presupuestos y análisis de gasto. Los ABONO se muestran en el listado pero no computan en ningún presupuesto.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categoría se calcula en tiempo de consulta. Solo se persiste en BD el override manual del usuario (pfm_user_rules). La categoría derivada no se almacena en la tabla transactions.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Máximo 10 presupuestos activos simultáneos por usuario. Al alcanzar el límite el botón de creación se deshabilita y se muestra mensaje informativo.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único presupuesto por categoría por mes. No se permiten dos presupuestos para la misma categoría en el mismo período mensual.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importe del presupuesto debe ser mayor que 0 EUR y menor o igual a 99.999,99 EUR con exactamente dos decimales. Todos los cálculos monetarios usan BigDecimal con modo de redondeo HALF_EVEN (ADR-034).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presupuestos son de periodicidad mensual. El consumo se resetea automáticamente al inicio de cada mes. El importe configurado actúa como plantilla recurrente y se mantiene activo hasta que el usuario lo elimine explícitamente.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RN-F023-08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umbral de alerta de presupuesto es configurable entre el 50% y el 95% del importe en incrementos de 5 puntos porcentuales (50, 55, 60, 65, 70, 75, 80, 85, 90, 95). Valores fuera de este rango son rechazados con error de validación.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RN-F023-09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alerta de presupuesto se dispara una única vez por presupuesto y por mes natural. Una vez emitida no se vuelve a generar aunque el gasto siga aumentando hasta el próximo reset mensual.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alertas de presupuesto se integran con el sistema de notificaciones push del portal (FEAT-014, Sprint 16). El tipo de notificación es BUDGET_ALERT y la acción de navegación apunta a /pfm/presupuestos.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RN-F023-11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evaluación del umbral de alerta se realiza de forma síncrona cada vez que se registra un nuevo movimiento CARGO. Si el acumulado supera el umbral configurado y no se ha emitido alerta en el mes en curso se genera la notificación.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RN-F023-12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historial de análisis mensual cubre los últimos 12 meses desde la fecha actual. El selector de mes no permite navegar a períodos fuera de este rango.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RN-F023-13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 el análisis mensual solo se muestran categorías que tengan al menos un movimiento CARGO en el período seleccionado. Las categorías sin actividad no se representan en los gráficos.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RN-F023-14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importes monetarios en el módulo PFM se presentan en EUR con 2 decimales, separador de miles mediante punto y separador decimal mediante coma. Los elementos de importe usan font-variant-numeric: tabular-nums para alineación vertical (LA-023-02).</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RN-F023-15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widget de Mi Dinero en el dashboard se carga de forma asíncrona (llamada independiente al endpoint /api/v1/pfm/summary) para no bloquear el render del dashboard principal. Si la llamada falla el widget muestra un estado degradado sin romper el layout de la página.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RN-F023-16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Toda navegación interna desde el widget de Mi Dinero en el dashboard usa Router.navigateByUrl() mediante handler (click). Queda expresamente prohibido el uso de [href] para rutas internas Angular (LA-023-01).</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RN-F023-17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reglas de recategorización del usuario se almacenan en la tabla pfm_user_rules con los campos user_id, concept_pattern (texto exacto del concepto del movimiento) y category_code. El concept_pattern es case-insensitive.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RN-F023-18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Cada usuario puede tener un máximo de 50 reglas de categorización personalizadas activas. Al alcanzar el límite el sistema informa al usuario y requiere eliminar una regla existente antes de crear una nueva.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RN-F023-19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los movimientos de tipo CARGO son recategorizables entre categorías de gasto. Los movimientos de tipo ABONO (nóminas, ingresos) mantienen su categoría de ingreso y no pueden asignarse a categorías de gasto.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RN-F023-20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ranking de top comercios unifica dos fuentes: biller_name de la tabla bill_payments y el primer token de más de 4 caracteres del campo concept de la tabla transactions para movimientos CARGO. Esta regla cierra la deuda técnica DEBT-047 (DashboardJpaAdapter.findTopMerchants).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RN-F023-21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Se excluyen del ranking de top comercios las transferencias entre cuentas propias del usuario y los pagos a la Administración Pública identificados por los patrones: AEAT, TGSS, SUMA, AGENCIA TRIBUTARIA.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RN-F023-22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gráfico de distribución de gasto por categoría utiliza la paleta de colores del design system BankPortal definida en el prototipo UX aprobado en gate HITL PO+TL. El gráfico incluye valores numéricos en texto alternativo para cumplir WCAG 2.1 AA criterio 1.1.1.</w:t>
            </w:r>
          </w:p>
        </w:tc>
      </w:tr>
    </w:tbl>
    <w:p/>
    <w:p>
      <w:pPr>
        <w:pStyle w:val="Heading2"/>
      </w:pPr>
      <w:r>
        <w:rPr>
          <w:rFonts w:ascii="Arial" w:hAnsi="Arial"/>
          <w:color w:val="45699E"/>
          <w:sz w:val="24"/>
        </w:rPr>
        <w:t xml:space="preserve">  SAVINGS</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importe target de un objetivo de ahorro debe estar comprendido entre 100€ y 500.000€. La fecha límite debe ser posterior al día actual más 30 días y anterior a 30 años.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Cada cliente puede tener un máximo de 10 objetivos en estado ACTIVE simultáneamente. Los objetivos en estado PAUSED, CLOSED o COMPLETED no cuentan a este límite.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importe de una aportación manual debe estar comprendido entre 10€ y 5.000€. Importes fuera de este rango se rechazan con código AMOUNT_OUT_OF_RANGE.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 en una ejecución de aportación automática el saldo disponible de la cuenta origen es insuficiente, la aportación se marca como FAILED, se notifica al cliente y la regla sigue activa para el ciclo siguiente sin reintento inmediato en ese mes.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fondos asignados a un objetivo se segregan virtualmente (decisión arquitectónica ADR-040, opción α). El importe reservado afecta al saldo disponible (availableBalance) de la cuenta origen pero NO al saldo contable (ledgerBalance). La cuenta sigue siendo legalmente del cliente y los fondos no constituyen depósito a plazo regulado.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Al cerrar un objetivo el importe reservado se devuelve t+0 (instantáneo) a la cuenta de origen de la última aportación. Si esa cuenta ya no existe se utiliza la cuenta primaria del cliente.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categorías de objetivo permitidas son: VIAJE, HOGAR, VEHICULO, EMERGENCIA, EDUCACION y OTROS. La categoría OTROS admite un texto personalizado customCategory de hasta 50 caracteres.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RN-F024-08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proyección de fecha de cumplimiento se calcula al ritmo actual de aportaciones (media móvil). Si la fecha proyectada supera la fecha límite el campo projectionRisk se marca true y la respuesta incluye suggestedMonthlyContribution recalculado para cumplir en plazo.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RN-F024-09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Cada hito de progreso (25%, 50%, 75%, 100%) emite como máximo una notificación push por objetivo. La idempotencia se garantiza mediante constraint UNIQUE (goal_id, percent) en la tabla goal_milestones.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Conforme a GDPR Art.15 (derecho de acceso) y Art.17 (derecho al olvido), los objetivos de ahorro y aportaciones se incluyen en el export de datos personales (FEAT-019). El cierre de un objetivo aplica soft-delete preservando el registro 7 años por obligación contable y fiscal.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RN-F024-11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Toda devolución de fondos al cerrar un objetivo cuyo importe sea superior a 30€ requiere autenticación reforzada (Strong Customer Authentication) conforme a PSD2 Art.97, mediante segundo factor del sistema 2FA (FEAT-001).</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RN-F024-12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objetivos en estado CLOSED se preservan en base de datos durante 7 años por obligación contable y fiscal. No se permite la eliminación física de objetivos cerrados antes de ese plazo.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RN-F024-13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scheduler de aportaciones automáticas se ejecuta en ventana horaria 02:00-06:00 UTC del día configurado en cada regla. El día del mes admisible para la regla está restringido al rango [1..28] para evitar inconsistencias en meses con menos de 31 días.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RN-F024-14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Ante fallo técnico de comunicación con CoreBanking durante una aportación automática (timeouts, errores de red), el sistema aplica reintentos con backoff exponencial 1m/5m/15m. Si los tres reintentos fallan la aportación queda en estado FAILED con razón TECHNICAL_ERROR.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RN-F024-15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saldo disponible (availableBalance) de una cuenta resta de su saldo contable la suma de importes reservados de todos los objetivos ACTIVE que tengan esta cuenta como origen. Esta resta se calcula en tiempo real y se refleja en consultas de saldo y operaciones que validen disponibilidad.</w:t>
            </w:r>
          </w:p>
        </w:tc>
      </w:tr>
    </w:tbl>
    <w:p/>
    <w:p>
      <w:pPr>
        <w:pStyle w:val="Heading2"/>
      </w:pPr>
      <w:r>
        <w:rPr>
          <w:rFonts w:ascii="Arial" w:hAnsi="Arial"/>
          <w:color w:val="45699E"/>
          <w:sz w:val="24"/>
        </w:rPr>
        <w:t xml:space="preserve">  ACCOUNT</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RN-F007-01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saldo disponible y el saldo retenido se muestran siempre separados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RN-F007-02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IBAN se muestra en formato estándar europeo (ES + 22 dígitos)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RN-F007-03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movimientos negativos son cargos; los positivos son abonos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RN-F007-04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historial disponible cubre al menos los últimos 13 meses (normativa EU)</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RN-F007-05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búsqueda por concepto opera sobre los últimos 13 meses de movimientos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RN-F007-06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categorización es automática; el cliente puede corregirla manualmente</w:t>
            </w:r>
          </w:p>
        </w:tc>
      </w:tr>
    </w:tbl>
    <w:p/>
    <w:p>
      <w:pPr>
        <w:pStyle w:val="Heading2"/>
      </w:pPr>
      <w:r>
        <w:rPr>
          <w:rFonts w:ascii="Arial" w:hAnsi="Arial"/>
          <w:color w:val="45699E"/>
          <w:sz w:val="24"/>
        </w:rPr>
        <w:t xml:space="preserve">  ADMIN</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RN-F019-33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usuarios con rol ADMIN pueden acceder al endpoint GET /api/v1/admin/gdpr-requests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RN-F019-34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SLA de respuesta a solicitudes GDPR es 30 dias desde la solicitud (GDPR Art.12§3)</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RN-F019-35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Si sla_deadline - NOW() &lt; 5 dias y estado != COMPLETED: alerta push a usuarios ADMIN + sla_alert_sent = true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RN-F019-36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Retencion obligatoria del log gdpr_requests: 6 años (GDPR Art.17§3.b + Ley Contabilidad)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RN-F019-37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log gdpr_requests es append-only — no se permiten UPDATE ni DELETE de registros historicos</w:t>
            </w:r>
          </w:p>
        </w:tc>
      </w:tr>
    </w:tbl>
    <w:p/>
    <w:p>
      <w:pPr>
        <w:pStyle w:val="Heading2"/>
      </w:pPr>
      <w:r>
        <w:rPr>
          <w:rFonts w:ascii="Arial" w:hAnsi="Arial"/>
          <w:color w:val="45699E"/>
          <w:sz w:val="24"/>
        </w:rPr>
        <w:t xml:space="preserve">  AUDIT</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RN-F001-05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audit_log es inmutable: no se permiten UPDATE ni DELETE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RN-F001-06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registros incluyen siempre IP, user-agent, timestamp UTC y resultado (SUCCESS/FAILURE/BLOCKED)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RN-F018-12</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audit log de exportaciones es asíncrono — su fallo no interrumpe la exportación (fire-and-forget x3)</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RN-F018-13</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Retención obligatoria del audit log de exportaciones: 7 años (GDPR Art.17 §3.b y PCI-DSS Req.10.7)</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RN-F018-14</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usuarios con rol ADMIN pueden consultar el audit log completo de exportaciones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RN-F018-15</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hash SHA-256 del PDF generado se almacena en el audit log para verificación posterior</w:t>
            </w:r>
          </w:p>
        </w:tc>
      </w:tr>
    </w:tbl>
    <w:p/>
    <w:p>
      <w:pPr>
        <w:pStyle w:val="Heading2"/>
      </w:pPr>
      <w:r>
        <w:rPr>
          <w:rFonts w:ascii="Arial" w:hAnsi="Arial"/>
          <w:color w:val="45699E"/>
          <w:sz w:val="24"/>
        </w:rPr>
        <w:t xml:space="preserve">  AUTHENTICATION</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RN-F001-01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secreto TOTP se almacena siempre cifrado (AES-256-CBC); nunca en claro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RN-F001-02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OTP es válido durante 30 segundos; se admite un margen de ±1 período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RN-F001-03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códigos de recuperación se almacenan hasheados con BCrypt (cost=10); nunca en claro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RN-F001-04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Cada código de recuperación solo puede usarse una única vez</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RN-F005-01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canal SSE se cierra automáticamente si la sesión expira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RN-F005-02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sistema soporta máximo 500 conexiones SSE simultáneas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RN-F005-03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subred se considera conocida solo tras ser confirmada explícitamente por el cliente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RN-F005-04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logins desde subredes desconocidas siempre generan notificación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RN-F006-01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contador de intentos fallidos se resetea al hacer login exitoso o al desbloquear</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RN-F006-02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cuenta bloqueada no puede acceder a ningún servicio de BankPortal hasta ser desbloqueada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RN-F006-03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token de desbloqueo por email es de único uso y expira en 1 hora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RN-F006-04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desbloqueo por email no requiere que el cliente recuerde su contraseña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RN-F006-05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alertas de acceso desde ubicación inusual no pueden desactivarse por preferencias del cliente</w:t>
            </w:r>
          </w:p>
        </w:tc>
      </w:tr>
    </w:tbl>
    <w:p/>
    <w:p>
      <w:pPr>
        <w:pStyle w:val="Heading2"/>
      </w:pPr>
      <w:r>
        <w:rPr>
          <w:rFonts w:ascii="Arial" w:hAnsi="Arial"/>
          <w:color w:val="45699E"/>
          <w:sz w:val="24"/>
        </w:rPr>
        <w:t xml:space="preserve">  BILL</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RN-F009-01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recibos se muestran ordenados por fecha de vencimiento (más próximos primero)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RN-F009-02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Un recibo en estado CANCELLED no puede volver a pagarse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RN-F009-03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pago de un recibo requiere saldo disponible suficiente en la cuenta origen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RN-F009-04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puede elegir la cuenta cargo entre sus cuentas activas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RN-F009-05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número de referencia del pago ad-hoc se comunica al emisor para conciliación</w:t>
            </w:r>
          </w:p>
        </w:tc>
      </w:tr>
    </w:tbl>
    <w:p/>
    <w:p>
      <w:pPr>
        <w:pStyle w:val="Heading2"/>
      </w:pPr>
      <w:r>
        <w:rPr>
          <w:rFonts w:ascii="Arial" w:hAnsi="Arial"/>
          <w:color w:val="45699E"/>
          <w:sz w:val="24"/>
        </w:rPr>
        <w:t xml:space="preserve">  CARDS</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RN-012</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cliente solo visualiza tarjetas vinculadas a su identidad verificada en Core Banking</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RN-013</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número de tarjeta se muestra enmascarado (últimos 4 dígitos visibles)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RN-014</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bloqueo de tarjeta es inmediato en todos los canales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RN-015</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desbloqueo requiere 2FA si han transcurrido más de 60 minutos desde el bloqueo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RN-016</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tarjeta bloqueada por el banco no puede ser desbloqueada por el cliente desde la app</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RN-017</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cambio de PIN requiere 2FA obligatorio y no puede coincidir con los últimos 3 PINs usados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RN-018</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PIN no se almacena en BankPortal; se transmite cifrado directamente al Core Banking</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RN-019</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límites de tarjeta están acotados por los máximos del contrato con el banco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RN-020</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cambio de límites tiene efecto en el siguiente día hábil bancario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RN-021</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notificaciones de tarjeta se disparan también para cargos rechazados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RN-022</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historial de transacciones cubre los últimos 13 meses (normativa EU)</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RN-023</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transacciones en divisa extranjera muestran importe original y tipo de cambio aplicado</w:t>
            </w:r>
          </w:p>
        </w:tc>
      </w:tr>
    </w:tbl>
    <w:p/>
    <w:p>
      <w:pPr>
        <w:pStyle w:val="Heading2"/>
      </w:pPr>
      <w:r>
        <w:rPr>
          <w:rFonts w:ascii="Arial" w:hAnsi="Arial"/>
          <w:color w:val="45699E"/>
          <w:sz w:val="24"/>
        </w:rPr>
        <w:t xml:space="preserve">  DASHBOARD</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RN-F010-01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gastos categorizados se calculan de forma asíncrona con un desfase máximo de 5 minutos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RN-F010-02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movimientos sin categoría aparecen en la categoría 'Otros'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RN-F010-03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comparativa mensual cubre los últimos 12 períodos completos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RN-F010-04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presupuesto mensual es establecido por el cliente; no tiene valor predeterminado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RN-F010-05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se genera una alerta de presupuesto por período y umbral (sin repeticiones)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RN-F011-01</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PDF de extracto incluye siempre los datos del titular y el período exacto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RN-F011-02</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extracto PDF puede cubrir hasta 13 meses (normativa EU)</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RN-F011-03</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fichero Excel incluye hoja de movimientos detallados y hoja resumen por categoría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RN-F011-04</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importes en Excel usan formato numérico (no texto) para permitir cálculos directos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RN-F011-05</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informe analítico solo exporta períodos completos (no el mes en curso parcial)</w:t>
            </w:r>
          </w:p>
        </w:tc>
      </w:tr>
    </w:tbl>
    <w:p/>
    <w:p>
      <w:pPr>
        <w:pStyle w:val="Heading2"/>
      </w:pPr>
      <w:r>
        <w:rPr>
          <w:rFonts w:ascii="Arial" w:hAnsi="Arial"/>
          <w:color w:val="45699E"/>
          <w:sz w:val="24"/>
        </w:rPr>
        <w:t xml:space="preserve">  DIRECTDEBIT</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RN-F017-01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creación de mandato SEPA requiere autenticación fuerte OTP (SCA PSD2 Art.97)</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RN-F017-02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IBAN del acreedor debe cumplir ISO 13616 y pertenecer a un país SEPA (34 países)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RN-F017-03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 pueden existir dos mandatos ACTIVE con el mismo acreedor e IBAN para el mismo cliente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RN-F017-04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solo puede consultar sus propios mandatos y recibos (aislamiento estricto por usuario)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RN-F017-05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recibos se muestran en orden cronológico descendente, paginados con máximo 50 registros por página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RN-F017-06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cancelación de mandato requiere OTP 2FA (operación de alto impacto)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RN-F017-07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 se puede cancelar si existe recibo PENDING con due_date &lt;= hoy + 2 días hábiles (PSD2 Art.80 D-2)</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RN-F017-10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exportación del extracto de domiciliaciones cubre el historial completo del mandato seleccionado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RN-DEBT035-01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Al recibir estado RETURNED del CoreBanking el mandato se actualiza con R-code y motivo SEPA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RN-DEBT035-02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 envía notificación push al titular con descripción legible del R-code (ej: R01='Fondos insuficientes')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RN-DEBT035-03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evento RETURNED queda registrado en el audit trail con timestamp, mandato_id y R-code</w:t>
            </w:r>
          </w:p>
        </w:tc>
      </w:tr>
    </w:tbl>
    <w:p/>
    <w:p>
      <w:pPr>
        <w:pStyle w:val="Heading2"/>
      </w:pPr>
      <w:r>
        <w:rPr>
          <w:rFonts w:ascii="Arial" w:hAnsi="Arial"/>
          <w:color w:val="45699E"/>
          <w:sz w:val="24"/>
        </w:rPr>
        <w:t xml:space="preserve">  EXPORT</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rango máximo de historial exportable es 12 meses desde la fecha de solicitud (PSD2 Art.47 §2)</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PAN de tarjeta debe aparecer enmascarado — solo últimos 4 dígitos visibles (PCI-DSS Req.3.4)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PDF incluye hash SHA-256 del contenido como garantía de integridad y no repudio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Máximo 500 registros por exportación; si se supera, el sistema informa y solicita reducir el rango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CSV usa UTF-8 BOM para compatibilidad con Excel en español (evita problemas con caracteres acentuados)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separador de campos CSV es ';' (estándar europeo) y el separador decimal es ','</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PAN no se incluye en ninguna columna del CSV; las tarjetas se referencian por alias o últimos 4 dígitos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RN-F018-08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primera fila del CSV contiene los nombres de columna en español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RN-F018-09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fecha mínima seleccionable para exportación es 12 meses atrás desde la fecha actual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RN-F018-10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 el preview count supera 500 registros el sistema muestra aviso y bloquea la exportación hasta reducir el rango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RN-F018-11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filtros aplicados se registran en el export_audit_log para trazabilidad GDPR</w:t>
            </w:r>
          </w:p>
        </w:tc>
      </w:tr>
    </w:tbl>
    <w:p/>
    <w:p>
      <w:pPr>
        <w:pStyle w:val="Heading2"/>
      </w:pPr>
      <w:r>
        <w:rPr>
          <w:rFonts w:ascii="Arial" w:hAnsi="Arial"/>
          <w:color w:val="45699E"/>
          <w:sz w:val="24"/>
        </w:rPr>
        <w:t xml:space="preserve">  GENERAL</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Listado devuelve solo préstamos del usuario autenticado — nunca de otros usuarios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Estados válidos de préstamo: ACTIVE, PENDING, APPROVED, REJECTED, PAID_OFF, CANCELLED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Detalle incluye: capital original, saldo pendiente, TAE, cuota mensual, cuotas pagadas/pendientes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Simulación es stateless — no persiste ningún dato en base de datos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Importe válido para simulación y solicitud: 1.000 – 60.000 EUR</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Plazo válido para simulación y solicitud: 12 – 84 meses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TAE calculada según fórmula Directiva 2008/48/CE (crédito al consumo europeo)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RN-F020-08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Cálculo cuota: método francés, BigDecimal escala 10, RoundingMode.HALF_EVEN (ADR-034)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RN-F020-09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Solicitud de préstamo requiere validación OTP 2FA previa (patrón LA-DEBT-041)</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Pre-scoring mock: hash(userId) % 1000 → score &gt; 600 = PENDING; ≤ 600 = REJECTED (RSK-022-01)</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RN-F020-11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Solicitud duplicada con estado PENDING activo → HTTP 409 Conflict</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RN-F020-12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Campos obligatorios en solicitud: importe, plazo, finalidad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RN-F020-13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Finalidades válidas: CONSUMO, VEHICULO, REFORMA, OTROS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RN-F020-14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Audit log obligatorio para toda solicitud de préstamo (creación, cambio estado, cancelación)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RN-F020-15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No se puede cancelar solicitud en estado APPROVED o PAID_OFF — HTTP 422</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RN-F020-16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Solo el propietario (mismo userId) puede cancelar su propia solicitud — HTTP 403 si otro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RN-F020-17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Cuadro de amortización generado dinámicamente desde parámetros del préstamo — no persistido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RN-F020-18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Cumplimiento Ley 16/2011: información precontractual obligatoria en simulación y solicitud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RN-F020-19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GET /api/v1/profile/notifications → HTTP 200 con [] si sin datos — nunca 404 (DEBT-043)</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RN-F020-20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GET /api/v1/profile/sessions → HTTP 200 con [] si sin datos — nunca 404 (DEBT-043)</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RN-F020-21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ExportAuditService debe registrar IBAN real resuelto desde AccountRepository (DEBT-036, LA-020-03)</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RN-F020-22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Regex PAN Maestro acepta 12–19 dígitos — CVSS 2.1 corregido (DEBT-037)</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RN-F021-01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Importe mínimo de depósito: 1.000€. Por debajo → 400 AMOUNT_TOO_LOW.</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RN-F021-02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Plazo del depósito: mínimo 1 mes, máximo 60 meses. Fuera de rango → 400.</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RN-F021-03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TIN y TAE configurables en application.properties por perfil de entorno. Sin hardcode en código fuente (DEBT-044).</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RN-F021-04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Retención IRPF en origen por tramos (Art.25 Ley 35/2006): 19% hasta 6.000€ / 21% entre 6.001€ y 50.000€ / 23% superior a 50.000€.</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RN-F021-05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Badge FGD informativo si importe del depósito ≤ 100.000€ (RDL 16/2011). Cobertura por titular y entidad.</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RN-F021-06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Todos los cálculos monetarios (intereses, IRPF, penalización) usan BigDecimal con redondeo HALF_EVEN (coherente con ADR-034).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RN-F021-07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Instrucción de renovación por defecto: RENEW_MANUAL. El cliente debe instruir explícitamente si desea renovación automática.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RN-F021-08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OTP 2FA obligatorio para apertura y cancelación anticipada de depósito (PSD2 SCA). Sin OTP → 400 OTP_REQUIRED. OTP inválido → 401 OTP_INVALID.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RN-F021-09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Penalización por cancelación anticipada = porcentaje configurable (application.properties) × intereses devengados hasta la fecha de cancelación.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RN-F021-10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Aislamiento total entre clientes: un cliente no puede consultar, modificar ni cancelar depósitos de otro. Violación → 403 ACCESS_DENIED.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RN-F022-01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número de móvil solo puede vincularse a una cuenta Bizum activa simultáneamente. Si el número ya está registrado, la activación se rechaza con error 409.</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RN-F022-02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consentimiento GDPR (Art.6) para la vinculación del número de teléfono debe quedar registrado con timestamp en el momento de la activación.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RN-F022-03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Todo pago Bizum iniciado por el pagador requiere SCA mediante OTP (PSD2 Art.97). Sin OTP válido no se procesa ningún cargo.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RN-F022-04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Límite máximo por operación Bizum: €500. Configurable en application.properties (bank.bizum.limit.per-operation). No es bypasseable por ningún rol.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RN-F022-05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Límite diario Bizum: €2.000 acumulados en el día natural (00:00–23:59 UTC). Se resetea automáticamente a medianoche. Configurable en application.properties.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RN-F022-06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pagos Bizum se liquidan vía SEPA Instant Credit Transfer (SCT Inst). El sistema debe confirmar el estado COMPLETED en un máximo de 10 segundos.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RN-F022-07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solicitud de cobro Bizum expira automáticamente a las 24 horas de su creación si no es aceptada ni rechazada. El sistema actualiza el estado a EXPIRED y notifica al solicitante.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RN-F022-08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aceptación de una solicitud Bizum requiere SCA OTP del aceptante y valida sus límites diarios restantes en el momento de la aceptación.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RN-F022-09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números de teléfono de terceros se muestran siempre enmascarados en todas las vistas del portal: +34 *** XXXX (últimos 4 dígitos visibles).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RN-F022-10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actionUrl de las notificaciones push Bizum deben corresponder a rutas registradas en app-routing.module.ts. No se permiten rutas inexistentes (LA-023-01).</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RN-F022-11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módulo Angular Bizum debe verificarse componente a componente contra el prototipo HITL aprobado antes de pasar a QA. El diseño respeta el sistema de producción: sidebar navy #1e3a5f, fondo #F5F7FA, cards blancas, botones primarios navy (LA-023-02).</w:t>
            </w:r>
          </w:p>
        </w:tc>
      </w:tr>
    </w:tbl>
    <w:p/>
    <w:p>
      <w:pPr>
        <w:pStyle w:val="Heading2"/>
      </w:pPr>
      <w:r>
        <w:rPr>
          <w:rFonts w:ascii="Arial" w:hAnsi="Arial"/>
          <w:color w:val="45699E"/>
          <w:sz w:val="24"/>
        </w:rPr>
        <w:t xml:space="preserve">  KYC</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acceso a transferencias y servicios de pago requiere KYC aprobado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RN-F013-02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proceso KYC puede interrumpirse y retomarse antes de enviar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documentos se almacenan cifrados (AES-256); nunca en claro en base de datos (ADR-023)</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RN-F013-04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 verifica el hash SHA-256 del documento al subir para detectar ficheros corruptos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Tipos de documento aceptados: DNI, NIE, Pasaporte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RN-F013-06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rechazo KYC debe incluir siempre un motivo que se comunica al cliente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RN-F013-07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KYC aprobado no caduca mientras los documentos de identidad estén vigentes</w:t>
            </w:r>
          </w:p>
        </w:tc>
      </w:tr>
    </w:tbl>
    <w:p/>
    <w:p>
      <w:pPr>
        <w:pStyle w:val="Heading2"/>
      </w:pPr>
      <w:r>
        <w:rPr>
          <w:rFonts w:ascii="Arial" w:hAnsi="Arial"/>
          <w:color w:val="45699E"/>
          <w:sz w:val="24"/>
        </w:rPr>
        <w:t xml:space="preserve">  NOTIFICATION</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notificaciones de seguridad se retienen durante 90 días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RN-F004-02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notificaciones de severidad ALTA (login sospechoso, bloqueo) no pueden desactivarse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Marcar una notificación como leída NO elimina el registro del audit_log</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RN-F004-04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badge de notificaciones no leídas se actualiza en tiempo real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acciones directas desde notificación requieren sesión activa del cliente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RN-F004-06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eventos ACCOUNT_LOCKED y LOGIN_NEW_CONTEXT_DETECTED no pueden desactivarse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RN-F004-07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configuración de canales es independiente por tipo de evento (email/push/in-app)</w:t>
            </w:r>
          </w:p>
        </w:tc>
      </w:tr>
    </w:tbl>
    <w:p/>
    <w:p>
      <w:pPr>
        <w:pStyle w:val="Heading2"/>
      </w:pPr>
      <w:r>
        <w:rPr>
          <w:rFonts w:ascii="Arial" w:hAnsi="Arial"/>
          <w:color w:val="45699E"/>
          <w:sz w:val="24"/>
        </w:rPr>
        <w:t xml:space="preserve">  NOTIFICATIONS</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dispositivos con token VAPID registrado activo reciben notificaciones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Un cliente puede registrar hasta 5 dispositivos simultáneamente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registro VAPID expira a los 12 meses sin actividad</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notificaciones de movimientos se envían en tiempo real, máximo 30 segundos tras el evento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RN-005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movimientos por importe inferior al umbral configurado no generan notificación por defecto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RN-006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puede desactivar categorías individualmente; la categoría Seguridad siempre permanece activa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RN-F017-08</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notificaciones push de domiciliación son opcionales si el cliente no tiene token de dispositivo registrado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RN-F017-09</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tiempo máximo entre el evento de domiciliación y la notificación push es de 30 segundos</w:t>
            </w:r>
          </w:p>
        </w:tc>
      </w:tr>
    </w:tbl>
    <w:p/>
    <w:p>
      <w:pPr>
        <w:pStyle w:val="Heading2"/>
      </w:pPr>
      <w:r>
        <w:rPr>
          <w:rFonts w:ascii="Arial" w:hAnsi="Arial"/>
          <w:color w:val="45699E"/>
          <w:sz w:val="24"/>
        </w:rPr>
        <w:t xml:space="preserve">  PRIVACY</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RN-F019-15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consentimiento de tipo SECURITY no puede desactivarse — HTTP 422 con mensaje explicativo (hereda RN-F004-06)</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RN-F019-16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Cada cambio de consentimiento genera registro inmutable en consent_history: userId, tipo, valor_anterior, valor_nuevo, timestamp, IP_origen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RN-F019-17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consentimientos de COMMUNICATIONS se sincronizan con preferencias de notificacion (FEAT-014) transaccionalmente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RN-F019-18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historial consent_history es solo lectura para el usuario — no se puede modificar ni eliminar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RN-F019-19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Solo puede haber un data-export activo (PENDING o IN_PROGRESS) por usuario simultaneamente — HTTP 409 si se solicita otro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RN-F019-20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generacion del data-export es asincrona (@Async) — SLA maximo 24 horas desde la solicitud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RN-F019-21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JSON del data-export lleva firma SHA-256 del contenido para garantia de integridad (hereda patron FEAT-018)</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RN-F019-22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Se envia notificacion push al usuario cuando el data-export esta disponible para descarga (reutiliza NotificationService FEAT-014)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RN-F019-23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enlace de descarga del data-export expira en 48 horas — HTTP 410 Gone pasado ese tiempo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RN-F019-24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solicitud de data-export queda registrada en gdpr_requests con estado PENDING y sla_deadline = createdAt + 30 dias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RN-F019-25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solicitud de eliminacion requiere OTP 2FA valido — SCA aplicado por seguridad aunque GDPR no lo exige expresamente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RN-F019-26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enlace de email de confirmacion de eliminacion es de un solo uso con TTL 24 horas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RN-F019-27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Tras confirmacion email la cuenta queda SUSPENDED inmediatamente — no puede operar en BankPortal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RN-F019-28</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Borrado logico: nombre → USUARIO ELIMINADO, apellidos → string vacio, email → hash SHA-256 irreversible, telefono → null, direccion → null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RN-F019-29</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registros de audit_log y gdpr_requests se conservan integros tras borrado logico — excepcion legal GDPR Art.17§3.b (6 años)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RN-F019-30</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 a CoreBanking via webhook POST /corebankng/api/account-deletion — fire-and-forget: si falla se registra DEBT-040, el proceso no se bloquea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RN-F019-31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SLA GDPR Art.12§3: ejecucion completa del borrado logico en 30 dias desde confirmacion del usuario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RN-F019-32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usuario recibe email de confirmacion de inicio del borrado y email de confirmacion de borrado completado (dia 30)</w:t>
            </w:r>
          </w:p>
        </w:tc>
      </w:tr>
    </w:tbl>
    <w:p/>
    <w:p>
      <w:pPr>
        <w:pStyle w:val="Heading2"/>
      </w:pPr>
      <w:r>
        <w:rPr>
          <w:rFonts w:ascii="Arial" w:hAnsi="Arial"/>
          <w:color w:val="45699E"/>
          <w:sz w:val="24"/>
        </w:rPr>
        <w:t xml:space="preserve">  PROFILE</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email del cliente no puede modificarse desde BankPortal; requiere trámite presencial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RN-F012-02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teléfono móvil debe verificarse antes de usarse para 2FA por SMS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nueva contraseña no puede coincidir con ninguna de las 3 anteriores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RN-F012-04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cambio de contraseña revoca automáticamente todas las sesiones activas excepto la actual</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preferencias de comunicación se aplican a todos los módulos de BankPortal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RN-F012-06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Desactivar el canal push no cancela la suscripción VAPID; solo deja de recibir notificaciones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RN-F012-07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Los JWTs revocados se verifican en tiempo O(1) mediante Redis blacklist; la BD es audit trail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RN-F019-01</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email es solo lectura — no puede modificarse desde la app (requiere tramite presencial en oficina)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RN-F019-02</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telefono se muestra parcialmente enmascarado en la consulta (primeros digitos ocultos)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RN-F019-03</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 kycStatus = PENDING, todos los campos del perfil son solo lectura — HTTP 423 si intenta editar</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RN-F019-04</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Tiempo de respuesta GET /api/v1/profile &lt; 1 segundo bajo carga normal</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RN-F019-05</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cambio de telefono movil requiere verificacion OTP enviado al numero actual — SCA PSD2 Art.97</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RN-F019-06</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email NO es campo modificable bajo ninguna circunstancia desde la API — campo ignorado en PATCH</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RN-F019-07</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Validacion cruzada con KYC: si kycStatus = PENDING la actualizacion de perfil devuelve HTTP 423 Locked</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RN-F019-08</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Todos los cambios de perfil se registran en audit_log con timestamp, IP y valores anterior/nuevo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RN-F019-09</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Nombre y apellidos no pueden quedar vacios — longitud minima 2 caracteres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RN-F019-10</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sesion actual (isCurrent=true) no puede cerrarse remotamente — HTTP 409 Conflict</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RN-F019-11</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cierre remoto de sesion invalida el JWT inmediatamente via Redis blacklist usando TokenService (S20)</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RN-F019-12</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IP de sesion se muestra siempre enmascarada en el listado (hereda RN-F002-01)</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RN-F019-13</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Maximo 5 sesiones simultaneas por usuario (hereda RN-F003-04)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RN-F019-14</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cierre remoto de sesion queda registrado en audit_log con sessionId, userId e IP</w:t>
            </w:r>
          </w:p>
        </w:tc>
      </w:tr>
    </w:tbl>
    <w:p/>
    <w:p>
      <w:pPr>
        <w:pStyle w:val="Heading2"/>
      </w:pPr>
      <w:r>
        <w:rPr>
          <w:rFonts w:ascii="Arial" w:hAnsi="Arial"/>
          <w:color w:val="45699E"/>
          <w:sz w:val="24"/>
        </w:rPr>
        <w:t xml:space="preserve">  SCHEDULED</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transferencia programada puede cancelarse hasta el día anterior a la ejecución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RN-F015-02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Sin fondos suficientes en la fecha de ejecución, la transferencia se marca FAILED y se notifica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Una transferencia recurrente puede pausarse temporalmente y reanudarse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RN-F015-04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 cancelación de una recurrente no afecta a las ejecuciones ya completadas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recurrentes mensuales en días inexistentes se ejecutan el último día hábil del mes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RN-F015-06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 se puede editar el IBAN destino de una recurrente activa; hay que cancelar y crear nueva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RN-F015-07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historial de ejecuciones de transferencias programadas es inmutable</w:t>
            </w:r>
          </w:p>
        </w:tc>
      </w:tr>
    </w:tbl>
    <w:p/>
    <w:p>
      <w:pPr>
        <w:pStyle w:val="Heading2"/>
      </w:pPr>
      <w:r>
        <w:rPr>
          <w:rFonts w:ascii="Arial" w:hAnsi="Arial"/>
          <w:color w:val="45699E"/>
          <w:sz w:val="24"/>
        </w:rPr>
        <w:t xml:space="preserve">  SESSION</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RN-F002-01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Las direcciones IP se muestran enmascaradas en la consulta de sesiones</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RN-F002-02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token de sesión nunca se almacena en claro; solo su hash SHA-256</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RN-F002-03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cierre remoto de sesión es irreversible e inmediato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RN-F002-04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puede cerrar todas las sesiones excepto la propia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RN-F002-05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enlace de denegación de sesión es de un solo uso con TTL de 1 hora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RN-F002-06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timeout de sesión por inactividad es configurable entre 5 y 60 minutos (máx. PCI-DSS)</w:t>
            </w:r>
          </w:p>
        </w:tc>
      </w:tr>
    </w:tbl>
    <w:p/>
    <w:p>
      <w:pPr>
        <w:pStyle w:val="Heading2"/>
      </w:pPr>
      <w:r>
        <w:rPr>
          <w:rFonts w:ascii="Arial" w:hAnsi="Arial"/>
          <w:color w:val="45699E"/>
          <w:sz w:val="24"/>
        </w:rPr>
        <w:t xml:space="preserve">  TRANSFER</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importe se opera siempre en precisión DECIMAL(15,2); nunca con punto flotante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RN-F008-02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Las transferencias que superan el límite por operación requieren 2FA (SCA)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Límite por operación: 2.000€; límite diario: 3.000€; límite mensual: 10.000€ (configurables por el banco)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RN-F008-04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Un cliente no puede tener dos beneficiarios activos con el mismo IBAN</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La baja de un beneficiario es soft delete; el historial de transferencias se conserva</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RN-F008-06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Los límites de transferencia son establecidos por el banco; el cliente no puede modificarlos</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RN-F008-07</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acumulado diario se calcula en UTC y se resetea a medianoche</w:t>
            </w:r>
          </w:p>
        </w:tc>
      </w:tr>
    </w:tbl>
    <w:p/>
    <w:p>
      <w:pPr>
        <w:pStyle w:val="Heading2"/>
      </w:pPr>
      <w:r>
        <w:rPr>
          <w:rFonts w:ascii="Arial" w:hAnsi="Arial"/>
          <w:color w:val="45699E"/>
          <w:sz w:val="24"/>
        </w:rPr>
        <w:t xml:space="preserve">  TRUSTEDDEVICE</w:t>
      </w:r>
    </w:p>
    <w:tbl>
      <w:tblPr>
        <w:tblW w:type="auto" w:w="0"/>
        <w:jc w:val="left"/>
        <w:tblLook w:firstColumn="1" w:firstRow="1" w:lastColumn="0" w:lastRow="0" w:noHBand="0" w:noVBand="1" w:val="04A0"/>
      </w:tblPr>
      <w:tblGrid>
        <w:gridCol w:w="4536"/>
        <w:gridCol w:w="453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720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Regla de Negocio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RN-F003-01</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El token de confianza se almacena como cookie HttpOnly; nunca en localStorage</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RN-F003-02</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token de confianza expira a los 30 días; se renueva en cada uso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RN-F003-03</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Si el dispositivo cambia de red sustancialmente se requiere re-verificación con OTP</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RN-F003-04</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Un usuario puede tener máximo 5 dispositivos de confianza activos simultáneamente</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RN-F003-05</w:t>
            </w:r>
          </w:p>
        </w:tc>
        <w:tc>
          <w:tcPr>
            <w:tcW w:type="dxa" w:w="720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Un dispositivo revocado debe completar OTP en el siguiente login</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RN-F003-06</w:t>
            </w:r>
          </w:p>
        </w:tc>
        <w:tc>
          <w:tcPr>
            <w:tcW w:type="dxa" w:w="720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El cliente puede revocar todos sus dispositivos de confianza con una única acción</w:t>
            </w:r>
          </w:p>
        </w:tc>
      </w:tr>
    </w:tbl>
    <w:p/>
    <w:p>
      <w:r>
        <w:br w:type="page"/>
      </w:r>
    </w:p>
    <w:p>
      <w:bookmarkStart w:id="37" w:name="sec6"/>
      <w:pPr>
        <w:pStyle w:val="Heading1"/>
      </w:pPr>
      <w:r>
        <w:rPr>
          <w:rFonts w:ascii="Arial" w:hAnsi="Arial"/>
          <w:color w:val="1B3A6B"/>
          <w:sz w:val="28"/>
        </w:rPr>
        <w:t>6. GLOSARIO DEL DOMINIO</w:t>
      </w:r>
      <w:bookmarkEnd w:id="37"/>
    </w:p>
    <w:p>
      <w:r>
        <w:rPr>
          <w:rFonts w:ascii="Arial" w:hAnsi="Arial"/>
          <w:i w:val="0"/>
          <w:color w:val="333333"/>
          <w:sz w:val="20"/>
        </w:rPr>
        <w:t>Glosario acumulativo de términos de negocio y técnicos. Se amplía cada sprint.</w:t>
      </w:r>
    </w:p>
    <w:tbl>
      <w:tblPr>
        <w:tblW w:type="auto" w:w="0"/>
        <w:jc w:val="left"/>
        <w:tblLook w:firstColumn="1" w:firstRow="1" w:lastColumn="0" w:lastRow="0" w:noHBand="0" w:noVBand="1" w:val="04A0"/>
      </w:tblPr>
      <w:tblGrid>
        <w:gridCol w:w="4536"/>
        <w:gridCol w:w="4536"/>
      </w:tblGrid>
      <w:tr>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Término</w:t>
            </w:r>
          </w:p>
        </w:tc>
        <w:tc>
          <w:tcPr>
            <w:tcW w:type="dxa" w:w="63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Definición</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SOFIA</w:t>
            </w:r>
          </w:p>
        </w:tc>
        <w:tc>
          <w:tcPr>
            <w:tcW w:type="dxa" w:w="63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Software Factory IA de Experis — orquesta agentes especializados via MCP</w:t>
            </w:r>
          </w:p>
        </w:tc>
      </w:tr>
      <w:tr>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CMMI L3</w:t>
            </w:r>
          </w:p>
        </w:tc>
        <w:tc>
          <w:tcPr>
            <w:tcW w:type="dxa" w:w="63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Capability Maturity Model Integration Nivel 3 — procesos definidos y gestionados</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Scrumban</w:t>
            </w:r>
          </w:p>
        </w:tc>
        <w:tc>
          <w:tcPr>
            <w:tcW w:type="dxa" w:w="63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Metodología híbrida Scrum + Kanban — sprints de 2 semanas con WIP limits</w:t>
            </w:r>
          </w:p>
        </w:tc>
      </w:tr>
      <w:tr>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Gate HITL</w:t>
            </w:r>
          </w:p>
        </w:tc>
        <w:tc>
          <w:tcPr>
            <w:tcW w:type="dxa" w:w="63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Human-In-The-Loop gate — punto de aprobación explícita por rol definido</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w:t>
            </w:r>
          </w:p>
        </w:tc>
        <w:tc>
          <w:tcPr>
            <w:tcW w:type="dxa" w:w="63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Functional Analysis — análisis funcional en lenguaje de negocio</w:t>
            </w:r>
          </w:p>
        </w:tc>
      </w:tr>
      <w:tr>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RN</w:t>
            </w:r>
          </w:p>
        </w:tc>
        <w:tc>
          <w:tcPr>
            <w:tcW w:type="dxa" w:w="63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Regla de Negocio — restricción o comportamiento obligatorio del sistema</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w:t>
            </w:r>
          </w:p>
        </w:tc>
        <w:tc>
          <w:tcPr>
            <w:tcW w:type="dxa" w:w="63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User Story — historia de usuario en formato Agile</w:t>
            </w:r>
          </w:p>
        </w:tc>
      </w:tr>
      <w:tr>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SP</w:t>
            </w:r>
          </w:p>
        </w:tc>
        <w:tc>
          <w:tcPr>
            <w:tcW w:type="dxa" w:w="63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Story Points — unidad relativa de estimación de esfuerzo</w:t>
            </w:r>
          </w:p>
        </w:tc>
      </w:tr>
      <w:tr>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API REST</w:t>
            </w:r>
          </w:p>
        </w:tc>
        <w:tc>
          <w:tcPr>
            <w:tcW w:type="dxa" w:w="63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Interfaz basada en HTTP con recursos y verbos estándar</w:t>
            </w:r>
          </w:p>
        </w:tc>
      </w:tr>
      <w:tr>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JWT</w:t>
            </w:r>
          </w:p>
        </w:tc>
        <w:tc>
          <w:tcPr>
            <w:tcW w:type="dxa" w:w="63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JSON Web Token — token de autenticación sin estado, firmado criptográficamente</w:t>
            </w:r>
          </w:p>
        </w:tc>
      </w:tr>
    </w:tbl>
    <w:p>
      <w:r>
        <w:br w:type="page"/>
      </w:r>
    </w:p>
    <w:p>
      <w:bookmarkStart w:id="38" w:name="sec7"/>
      <w:pPr>
        <w:pStyle w:val="Heading1"/>
      </w:pPr>
      <w:r>
        <w:rPr>
          <w:rFonts w:ascii="Arial" w:hAnsi="Arial"/>
          <w:color w:val="1B3A6B"/>
          <w:sz w:val="28"/>
        </w:rPr>
        <w:t>7. MATRIZ DE COBERTURA FUNCIONAL</w:t>
      </w:r>
      <w:bookmarkEnd w:id="38"/>
    </w:p>
    <w:p>
      <w:r>
        <w:rPr>
          <w:rFonts w:ascii="Arial" w:hAnsi="Arial"/>
          <w:i w:val="0"/>
          <w:color w:val="333333"/>
          <w:sz w:val="20"/>
        </w:rPr>
        <w:t>Trazabilidad completa de las 108 funcionalidades.</w:t>
      </w:r>
    </w:p>
    <w:tbl>
      <w:tblPr>
        <w:tblW w:type="auto" w:w="0"/>
        <w:jc w:val="left"/>
        <w:tblLook w:firstColumn="1" w:firstRow="1" w:lastColumn="0" w:lastRow="0" w:noHBand="0" w:noVBand="1" w:val="04A0"/>
      </w:tblPr>
      <w:tblGrid>
        <w:gridCol w:w="1296"/>
        <w:gridCol w:w="1296"/>
        <w:gridCol w:w="1296"/>
        <w:gridCol w:w="1296"/>
        <w:gridCol w:w="1296"/>
        <w:gridCol w:w="1296"/>
        <w:gridCol w:w="1296"/>
      </w:tblGrid>
      <w:tr>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ID</w:t>
            </w:r>
          </w:p>
        </w:tc>
        <w:tc>
          <w:tcPr>
            <w:tcW w:type="dxa" w:w="141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Feature</w:t>
            </w:r>
          </w:p>
        </w:tc>
        <w:tc>
          <w:tcPr>
            <w:tcW w:type="dxa" w:w="2551"/>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Funcionalidad</w:t>
            </w:r>
          </w:p>
        </w:tc>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Versión</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Estado</w:t>
            </w:r>
          </w:p>
        </w:tc>
        <w:tc>
          <w:tcPr>
            <w:tcW w:type="dxa" w:w="1247"/>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Evidencia</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FA-001-A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Registro y Activación del Segundo Factor TOTP</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FA-001-B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FEAT-001</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Códigos de Recuperación 2FA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FA-001-C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Registro de Auditoría Inmutable de Autenticación</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FA-002-A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Consulta de Sesiones Activas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FA-002-B</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Cierre Remoto de Sesión</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FA-002-C</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FEAT-002</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Invalidación de Sesión por Enlace de Email</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FA-003-A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Registro de Dispositivo de Confianza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FA-003-B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Login sin OTP desde Dispositivo de Confianza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FA-003-C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FEAT-003</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Revocación de Dispositivos de Confianza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v1.4.0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FA-004-A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Historial de Notificaciones de Seguridad</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FA-004-B</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Gestión de Notificaciones (Leídas/No Leídas)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FA-004-C</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Acciones Directas desde Notificación</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FA-004-D</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FEAT-004</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Preferencias de Notificación por Canal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S5+8</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v1.8.0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FA-005-A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FEAT-005</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Notificaciones de Seguridad en Tiempo Real (SSE)</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S6</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v1.6.0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FA-005-B</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FEAT-005</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Detección de Login desde Contexto Inusual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S6</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v1.6.0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FA-006-A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FEAT-006</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Bloqueo Automático de Cuenta por Intentos Fallidos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FA-006-B</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FEAT-006</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Desbloqueo de Cuenta por Email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FA-006-C</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FEAT-006</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Autenticación Contextual por Subred IP</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S7</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v1.7.0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FA-007-A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de Cuentas y Saldos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FA-007-B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Historial de Movimientos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FA-007-C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Búsqueda por Concepto de Movimiento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FA-007-D</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FEAT-007</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Categorización Automática de Gastos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S9</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v1.9.0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FA-008-A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Transferencia Bancaria Inmediata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FA-008-B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Libreta de Beneficiarios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FA-008-C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FEAT-008</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Límites de Transferencia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v1.10.0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FA-009-A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Consulta de Recibos Pendientes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FA-009-B</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Pago de Recibo Domiciliado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FA-009-C</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FEAT-009</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Pago Ad-hoc por Referencia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S11</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v1.11.0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FA-010-A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FEAT-010</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Resumen de Gastos por Categoría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FA-010-B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FEAT-010</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Evolución Mensual de Gastos e Ingresos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FA-010-C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FEAT-010</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Alertas de Presupuesto Mensual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FA-011-A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FEAT-011</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Exportación de Movimientos a PDF</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FA-011-B</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Exportación de Movimientos a Excel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FA-011-C</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FEAT-011</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Exportación del Informe Analítico de Gastos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FA-012-A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y Actualización de Datos Personales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FA-012-B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Cambio de Contraseña con Historial</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FA-012-C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Gestión de Preferencias de Comunicación</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FA-012-D</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FEAT-012</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Revocación de Tokens JWT Activos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S14</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v1.14.0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FA-013-A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Inicio del Proceso KYC</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FA-013-B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Carga de Documentos de Identidad</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FA-013-C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FEAT-013</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Revisión y Resolución KYC</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S15</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v1.15.0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RECONSTRUIDO</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FA-014-001</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Suscripción a Notificaciones Push VAPID</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FA-014-002</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Envío de Notificaciones de Movimientos en Tiempo R</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FA-014-003</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Gestión de Preferencias de Notificación Multicanal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v1.16.0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FA-015-A</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Programación de Transferencia Única (ONCE)</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FA-015-B</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Transferencias Recurrentes (WEEKLY/BIWEEKLY/MONTHL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FA-015-C</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FEAT-015</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Consulta y Gestión de Transferencias Programadas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S17</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v1.17.0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FA-016-007</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Consulta de Tarjetas del Cliente</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FA-016-008</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Bloqueo y Desbloqueo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FA-016-009</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Cambio de PIN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FA-016-010</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Gestión de Límites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FA-016-011</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Notificaciones Push de Operaciones con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FA-016-012</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FEAT-016</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Historial de Transacciones de Tarjeta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S18</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v1.18.0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EVIDENCIA-DIRECTA</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FA-017-A</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Alta de Mandato SEPA Direct Debit</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SPRINT-19</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FA-017-B</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Consulta y Listado de Mandatos SEPA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SPRINT-19</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FA-017-C</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Cancelacion de Mandato SEPA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SPRINT-19</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FA-017-D</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Notificacion Push Domiciliacion Procesada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SPRINT-19</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FA-017-E</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FEAT-017</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Exportacion Extracto Domiciliaciones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S19</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v1.19.0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SPRINT-19</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FA-018-A</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Generacion de Extracto PDF de Movimientos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SPRINT-20</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FA-018-B</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Generacion de Extracto CSV de Movimientos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SPRINT-20</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FA-018-C</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Filtrado Multicriteria de Movimientos para Exporta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SPRINT-20</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FA-018-D</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FEAT-018</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Audit Log de Exportaciones (GDPR + PCI-DSS)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SPRINT-20</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FA-DEBT035-A</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DEBT-035</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Notificacion Push RETURNED CoreBanking (R-code SEP</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v1.20.0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SPRINT-20</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FA-019-A</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Consulta de Datos Personales desde Perfil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FA-019-B</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Actualizacion de Datos Personales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FA-019-C</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Gestion de Sesiones Activas y Cierre Remoto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FA-019-D</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Gestion de Consentimientos GDPR con Historial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FA-019-E</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Portabilidad de Datos — Descarga JSON Firmado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FA-019-F</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Derecho al Olvido — Eliminacion de Cuenta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FA-019-G</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FEAT-019</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Log de Derechos GDPR — Panel Administracion</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S21</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v1.21.0</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DELIVERED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SPRINT-21</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FA-020-A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de Préstamos Activos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SCRUM-115</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FA-020-B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Simulador de Préstamo Personal</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SCRUM-116</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FA-020-C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Solicitud de Préstamo con Pre-scoring y 2FA</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SCRUM-117</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FA-020-D</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Cuadro de Amortización</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SCRUM-118</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FA-020-E</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Cancelación de Solicitud de Préstamo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SCRUM-118</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FA-020-F</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Frontend Angular — Módulo Préstamos</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SCRUM-119</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FA-DEBT043-A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Endpoints Notificaciones y Sesiones en Perfil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SCRUM-120</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FA-DEBT036-A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FEAT-020</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IBAN en Audit Log y Validación PAN Maestro</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v1.22.0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SCRUM-121</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FA-021-A</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Consulta de Depósitos Activos</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US-F021-01</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FA-021-B</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Detalle de Depósito y Cuadro de Liquidación IRPF</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US-F021-02</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FA-021-C</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Simulador de Depósito a Plazo Fijo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US-F021-03</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FA-021-D</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Apertura de Depósito con Confirmación 2FA (SCA)</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US-F021-04</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FA-021-E</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Instrucción de Renovación al Vencimiento</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US-F021-05</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FA-021-F</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Cancelación Anticipada de Depósito con Penalizació</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US-F021-06</w:t>
            </w:r>
          </w:p>
        </w:tc>
      </w:tr>
      <w:tr>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FA-021-G</w:t>
            </w:r>
          </w:p>
        </w:tc>
        <w:tc>
          <w:tcPr>
            <w:tcW w:type="dxa" w:w="141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FEAT-021</w:t>
            </w:r>
          </w:p>
        </w:tc>
        <w:tc>
          <w:tcPr>
            <w:tcW w:type="dxa" w:w="2551"/>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Módulo Angular Depósitos — Frontend Portal</w:t>
            </w:r>
          </w:p>
        </w:tc>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US-F021-01..06</w:t>
            </w:r>
          </w:p>
        </w:tc>
      </w:tr>
      <w:tr>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FA-DEBT-023A</w:t>
            </w:r>
          </w:p>
        </w:tc>
        <w:tc>
          <w:tcPr>
            <w:tcW w:type="dxa" w:w="141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DEBT-036+037+044</w:t>
            </w:r>
          </w:p>
        </w:tc>
        <w:tc>
          <w:tcPr>
            <w:tcW w:type="dxa" w:w="2551"/>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Cierre Deuda Técnica Sprint 23: IBAN Audit Log · R</w:t>
            </w:r>
          </w:p>
        </w:tc>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S23</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v1.23.0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ACTIVE</w:t>
            </w:r>
          </w:p>
        </w:tc>
        <w:tc>
          <w:tcPr>
            <w:tcW w:type="dxa" w:w="1247"/>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 xml:space="preserve">DEBT-036 + DEBT-037 </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FA-022-A</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Activación Bizum y vinculación de número de teléfo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FA-022-B</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Envío de pago Bizum P2P con SCA OTP</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FA-022-C</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Solicitud de cobro Bizum a contacto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FA-022-D</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Aceptación y rechazo de solicitud de dinero Bizum</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FA-022-E</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Historial paginado de operaciones Bizum</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FA-022-F</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Notificaciones push para eventos Bizum</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FA-022-G</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FEAT-022</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Módulo Angular Bizum con 5 pantallas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S24</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IN_PROGRESS</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SPRINT</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FA-PFM-001</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Categorización automática de movimientos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FA-PFM-002</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Gestión de presupuestos mensuales por categoría</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FA-PFM-003</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Alertas de gasto por umbral configurable</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FA-PFM-004</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Análisis mensual comparativo de gasto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FA-PFM-005</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Widget resumen financiero en dashboard principal</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FA-PFM-006</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Edición manual de categoría con aprendizaje de reg</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FA-PFM-007</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FEAT-023</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Distribución de gasto y ranking de comercios</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S25</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SRS-FEAT-023-sprint2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FA-SAV-001</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Creación de objetivo de ahorro con propósito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FA-SAV-002</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Listado de objetivos con progreso y proyección</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FA-SAV-003</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 xml:space="preserve">Detalle de objetivo con histórico de aportaciones </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FA-SAV-004</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Aportación manual puntual a objetivo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FA-SAV-005</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Aportación automática mensual recurrente</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FA-SAV-006</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Edición pausa y cierre de objetivo con devolución</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FA-SAV-007</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Notificaciones push de hitos de progreso</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r>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FA-SAV-008</w:t>
            </w:r>
          </w:p>
        </w:tc>
        <w:tc>
          <w:tcPr>
            <w:tcW w:type="dxa" w:w="141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FEAT-024</w:t>
            </w:r>
          </w:p>
        </w:tc>
        <w:tc>
          <w:tcPr>
            <w:tcW w:type="dxa" w:w="2551"/>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Widget Mi ahorro en dashboard</w:t>
            </w:r>
          </w:p>
        </w:tc>
        <w:tc>
          <w:tcPr>
            <w:tcW w:type="dxa" w:w="850"/>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S26</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w:t>
            </w:r>
          </w:p>
        </w:tc>
        <w:tc>
          <w:tcPr>
            <w:tcW w:type="dxa" w:w="1134"/>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PLANNED</w:t>
            </w:r>
          </w:p>
        </w:tc>
        <w:tc>
          <w:tcPr>
            <w:tcW w:type="dxa" w:w="1247"/>
            <w:shd w:val="clear" w:color="auto" w:fill="EFF6FF"/>
            <w:tcBorders>
              <w:top w:val="single" w:sz="4" w:color="D9DDE8"/>
              <w:left w:val="single" w:sz="4" w:color="D9DDE8"/>
              <w:bottom w:val="single" w:sz="4" w:color="D9DDE8"/>
              <w:right w:val="single" w:sz="4" w:color="D9DDE8"/>
            </w:tcBorders>
          </w:tcPr>
          <w:p>
            <w:r>
              <w:rPr>
                <w:rFonts w:ascii="Arial" w:hAnsi="Arial"/>
                <w:color w:val="333333"/>
                <w:sz w:val="18"/>
              </w:rPr>
              <w:t>SRS-FEAT-024-sprint2</w:t>
            </w:r>
          </w:p>
        </w:tc>
      </w:tr>
    </w:tbl>
    <w:p>
      <w:r>
        <w:br w:type="page"/>
      </w:r>
    </w:p>
    <w:p>
      <w:bookmarkStart w:id="39" w:name="sec8"/>
      <w:pPr>
        <w:pStyle w:val="Heading1"/>
      </w:pPr>
      <w:r>
        <w:rPr>
          <w:rFonts w:ascii="Arial" w:hAnsi="Arial"/>
          <w:color w:val="1B3A6B"/>
          <w:sz w:val="28"/>
        </w:rPr>
        <w:t>8. HISTORIAL DE CAMBIOS DEL DOCUMENTO</w:t>
      </w:r>
      <w:bookmarkEnd w:id="39"/>
    </w:p>
    <w:p>
      <w:r>
        <w:rPr>
          <w:rFonts w:ascii="Arial" w:hAnsi="Arial"/>
          <w:i w:val="0"/>
          <w:color w:val="333333"/>
          <w:sz w:val="20"/>
        </w:rPr>
        <w:t>Registro de versiones. El documento se actualiza incrementalmente en cada sprint.</w:t>
      </w:r>
    </w:p>
    <w:tbl>
      <w:tblPr>
        <w:tblW w:type="auto" w:w="0"/>
        <w:jc w:val="left"/>
        <w:tblLook w:firstColumn="1" w:firstRow="1" w:lastColumn="0" w:lastRow="0" w:noHBand="0" w:noVBand="1" w:val="04A0"/>
      </w:tblPr>
      <w:tblGrid>
        <w:gridCol w:w="2268"/>
        <w:gridCol w:w="2268"/>
        <w:gridCol w:w="2268"/>
        <w:gridCol w:w="2268"/>
      </w:tblGrid>
      <w:tr>
        <w:tc>
          <w:tcPr>
            <w:tcW w:type="dxa" w:w="850"/>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Versión</w:t>
            </w:r>
          </w:p>
        </w:tc>
        <w:tc>
          <w:tcPr>
            <w:tcW w:type="dxa" w:w="113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Fecha</w:t>
            </w:r>
          </w:p>
        </w:tc>
        <w:tc>
          <w:tcPr>
            <w:tcW w:type="dxa" w:w="1984"/>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Sprint / Feature</w:t>
            </w:r>
          </w:p>
        </w:tc>
        <w:tc>
          <w:tcPr>
            <w:tcW w:type="dxa" w:w="4535"/>
            <w:shd w:val="clear" w:color="auto" w:fill="1B3A6B"/>
            <w:tcBorders>
              <w:top w:val="single" w:sz="4" w:color="45699E"/>
              <w:left w:val="single" w:sz="4" w:color="45699E"/>
              <w:bottom w:val="single" w:sz="4" w:color="45699E"/>
              <w:right w:val="single" w:sz="4" w:color="45699E"/>
            </w:tcBorders>
          </w:tcPr>
          <w:p>
            <w:pPr>
              <w:jc w:val="center"/>
            </w:pPr>
            <w:r>
              <w:rPr>
                <w:rFonts w:ascii="Arial" w:hAnsi="Arial"/>
                <w:b/>
                <w:color w:val="FFFFFF"/>
                <w:sz w:val="18"/>
              </w:rPr>
              <w:t>Descripción del cambio</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0.1</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2026-04-05</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S1–S22 / FEAT-019</w:t>
            </w:r>
          </w:p>
        </w:tc>
        <w:tc>
          <w:tcPr>
            <w:tcW w:type="dxa" w:w="453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78 func, 188 RN. Indice clickable v2.6. SOFIA v2.7.</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0.2</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2026-04-06</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S1–S23 / FEAT-021</w:t>
            </w:r>
          </w:p>
        </w:tc>
        <w:tc>
          <w:tcPr>
            <w:tcW w:type="dxa" w:w="453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86 func, 198 RN. Indice clickable v2.6. SOFIA v2.7.</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0.3</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2026-04-09</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S1–S23 / FEAT-021</w:t>
            </w:r>
          </w:p>
        </w:tc>
        <w:tc>
          <w:tcPr>
            <w:tcW w:type="dxa" w:w="453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86 func, 198 RN. Indice clickable v2.6. SOFIA v2.7.</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0.5</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2026-04-14</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S1–S24 / FEAT-021</w:t>
            </w:r>
          </w:p>
        </w:tc>
        <w:tc>
          <w:tcPr>
            <w:tcW w:type="dxa" w:w="453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93 func, 209 RN. Indice clickable v2.6. SOFIA v2.7.</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0.6</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2026-04-15</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S1–S24 / FEAT-021</w:t>
            </w:r>
          </w:p>
        </w:tc>
        <w:tc>
          <w:tcPr>
            <w:tcW w:type="dxa" w:w="453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93 func, 209 RN. Indice clickable v2.6. SOFIA v2.7.</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0.7</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2026-04-16</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S1–S25 / FEAT-023</w:t>
            </w:r>
          </w:p>
        </w:tc>
        <w:tc>
          <w:tcPr>
            <w:tcW w:type="dxa" w:w="453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100 func, 231 RN. Indice clickable v2.6. SOFIA v2.7.</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0.8</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2026-04-16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S1–S25 / FEAT-023</w:t>
            </w:r>
          </w:p>
        </w:tc>
        <w:tc>
          <w:tcPr>
            <w:tcW w:type="dxa" w:w="453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100 func, 231 RN. Indice clickable v2.6. SOFIA v2.7.</w:t>
            </w:r>
          </w:p>
        </w:tc>
      </w:tr>
      <w:tr>
        <w:tc>
          <w:tcPr>
            <w:tcW w:type="dxa" w:w="850"/>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0.10</w:t>
            </w:r>
          </w:p>
        </w:tc>
        <w:tc>
          <w:tcPr>
            <w:tcW w:type="dxa" w:w="113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2026-04-17</w:t>
            </w:r>
          </w:p>
        </w:tc>
        <w:tc>
          <w:tcPr>
            <w:tcW w:type="dxa" w:w="1984"/>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S1–S25 / FEAT-023</w:t>
            </w:r>
          </w:p>
        </w:tc>
        <w:tc>
          <w:tcPr>
            <w:tcW w:type="dxa" w:w="4535"/>
            <w:shd w:val="clear" w:color="auto" w:fill="F5F7FA"/>
            <w:tcBorders>
              <w:top w:val="single" w:sz="4" w:color="D9DDE8"/>
              <w:left w:val="single" w:sz="4" w:color="D9DDE8"/>
              <w:bottom w:val="single" w:sz="4" w:color="D9DDE8"/>
              <w:right w:val="single" w:sz="4" w:color="D9DDE8"/>
            </w:tcBorders>
          </w:tcPr>
          <w:p>
            <w:r>
              <w:rPr>
                <w:rFonts w:ascii="Arial" w:hAnsi="Arial"/>
                <w:color w:val="333333"/>
                <w:sz w:val="18"/>
              </w:rPr>
              <w:t>Actualización automática gate-8b. 100 func, 231 RN. Indice clickable v2.6. SOFIA v2.7.</w:t>
            </w:r>
          </w:p>
        </w:tc>
      </w:tr>
      <w:tr>
        <w:tc>
          <w:tcPr>
            <w:tcW w:type="dxa" w:w="850"/>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0.11</w:t>
            </w:r>
          </w:p>
        </w:tc>
        <w:tc>
          <w:tcPr>
            <w:tcW w:type="dxa" w:w="113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2026-04-26</w:t>
            </w:r>
          </w:p>
        </w:tc>
        <w:tc>
          <w:tcPr>
            <w:tcW w:type="dxa" w:w="1984"/>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S1–S26 / FEAT-024</w:t>
            </w:r>
          </w:p>
        </w:tc>
        <w:tc>
          <w:tcPr>
            <w:tcW w:type="dxa" w:w="4535"/>
            <w:shd w:val="clear" w:color="auto" w:fill="FFFFFF"/>
            <w:tcBorders>
              <w:top w:val="single" w:sz="4" w:color="D9DDE8"/>
              <w:left w:val="single" w:sz="4" w:color="D9DDE8"/>
              <w:bottom w:val="single" w:sz="4" w:color="D9DDE8"/>
              <w:right w:val="single" w:sz="4" w:color="D9DDE8"/>
            </w:tcBorders>
          </w:tcPr>
          <w:p>
            <w:r>
              <w:rPr>
                <w:rFonts w:ascii="Arial" w:hAnsi="Arial"/>
                <w:color w:val="333333"/>
                <w:sz w:val="18"/>
              </w:rPr>
              <w:t>Actualización automática. 108 func, 246 RN. SOFIA v2.7.</w:t>
            </w:r>
          </w:p>
        </w:tc>
      </w:tr>
    </w:tbl>
    <w:p/>
    <w:p>
      <w:r>
        <w:rPr>
          <w:rFonts w:ascii="Arial" w:hAnsi="Arial"/>
          <w:color w:val="AAAAAA"/>
          <w:sz w:val="16"/>
        </w:rPr>
        <w:t>Documento generado por FA-Agent — SOFIA Software Factory v2.7 · bank-portal · Banco Meridian</w:t>
      </w:r>
    </w:p>
    <w:sectPr w:rsidR="00FC693F" w:rsidRPr="0006063C" w:rsidSect="00034616">
      <w:headerReference w:type="default" r:id="rId9"/>
      <w:footerReference w:type="default" r:id="rId10"/>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AAAAAA"/>
        <w:sz w:val="16"/>
      </w:rPr>
      <w:t>SOFIA v2.7 · Confidencial · Experis · 2026-04-26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45699E"/>
        <w:sz w:val="16"/>
      </w:rPr>
      <w:t>Análisis Funcional — bank-portal · Banco Meridian · v0.11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