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Matriz de Trazabilidad — FEAT-015</w:t>
      </w:r>
    </w:p>
    <w:p>
      <w:pPr>
        <w:jc w:val="center"/>
      </w:pPr>
      <w:r>
        <w:rPr>
          <w:rFonts w:ascii="Arial" w:cs="Arial" w:eastAsia="Arial" w:hAnsi="Arial"/>
          <w:color w:val="2E5F9E"/>
          <w:sz w:val="22"/>
          <w:szCs w:val="22"/>
        </w:rPr>
        <w:t xml:space="preserve">Transferencias Programadas · Sprint 17 · BankPortal</w:t>
      </w:r>
    </w:p>
    <w:p>
      <w:r>
        <w:rPr>
          <w:sz w:val="10"/>
          <w:szCs w:val="10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1. Trazabilidad Requisito → Implementación → Test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200"/>
        <w:gridCol w:w="2400"/>
        <w:gridCol w:w="1626"/>
        <w:gridCol w:w="1700"/>
      </w:tblGrid>
      <w:tr>
        <w:tc>
          <w:tcPr>
            <w:tcW w:type="dxa" w:w="11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US/Item</w:t>
            </w:r>
          </w:p>
        </w:tc>
        <w:tc>
          <w:tcPr>
            <w:tcW w:type="dxa" w:w="22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Requisito</w:t>
            </w:r>
          </w:p>
        </w:tc>
        <w:tc>
          <w:tcPr>
            <w:tcW w:type="dxa" w:w="24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Implementación</w:t>
            </w:r>
          </w:p>
        </w:tc>
        <w:tc>
          <w:tcPr>
            <w:tcW w:type="dxa" w:w="1626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W w:type="dxa" w:w="17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US-1501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Crear transferencia programada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ScheduledTransferService + V17</w:t>
            </w:r>
          </w:p>
        </w:tc>
        <w:tc>
          <w:tcPr>
            <w:tcW w:type="dxa" w:w="1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TC-1501, TC-1507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US-1502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Recurrencia DAILY/WEEKLY/MONTHLY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RecurrenceConfig + V17b</w:t>
            </w:r>
          </w:p>
        </w:tc>
        <w:tc>
          <w:tcPr>
            <w:tcW w:type="dxa" w:w="1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TC-1502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US-1503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Scheduler idempotente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ScheduledTransferExecutor + idempotency_key</w:t>
            </w:r>
          </w:p>
        </w:tc>
        <w:tc>
          <w:tcPr>
            <w:tcW w:type="dxa" w:w="1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TC-1503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US-1504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Push al ejecutar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PushNotificationService integrado</w:t>
            </w:r>
          </w:p>
        </w:tc>
        <w:tc>
          <w:tcPr>
            <w:tcW w:type="dxa" w:w="1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TC-1504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US-1505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Frontend Angular gestión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ScheduledTransfersComponent</w:t>
            </w:r>
          </w:p>
        </w:tc>
        <w:tc>
          <w:tcPr>
            <w:tcW w:type="dxa" w:w="1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TC-1505, TC-1506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DEBT-027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Domain events a dominio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Refactor package structure</w:t>
            </w:r>
          </w:p>
        </w:tc>
        <w:tc>
          <w:tcPr>
            <w:tcW w:type="dxa" w:w="1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 review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DEBT-028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Cifrar auth/p256dh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AES-256-GCM EncryptionService</w:t>
            </w:r>
          </w:p>
        </w:tc>
        <w:tc>
          <w:tcPr>
            <w:tcW w:type="dxa" w:w="1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TC-DEBT-028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DEBT-029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Footer RGPD Art.7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Email template update</w:t>
            </w:r>
          </w:p>
        </w:tc>
        <w:tc>
          <w:tcPr>
            <w:tcW w:type="dxa" w:w="1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 manual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R-016-05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Validar carga SSE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Load test Gatling</w:t>
            </w:r>
          </w:p>
        </w:tc>
        <w:tc>
          <w:tcPr>
            <w:tcW w:type="dxa" w:w="1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TC-LOAD-SSE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</w:t>
            </w:r>
          </w:p>
        </w:tc>
      </w:tr>
    </w:tbl>
    <w:p>
      <w:r>
        <w:rPr>
          <w:sz w:val="10"/>
          <w:szCs w:val="10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 Cobertura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13"/>
        <w:gridCol w:w="3013"/>
        <w:gridCol w:w="3000"/>
      </w:tblGrid>
      <w:tr>
        <w:tc>
          <w:tcPr>
            <w:tcW w:type="dxa" w:w="3013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Items cubiertos</w:t>
            </w:r>
          </w:p>
        </w:tc>
        <w:tc>
          <w:tcPr>
            <w:tcW w:type="dxa" w:w="3013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cases ligados</w:t>
            </w:r>
          </w:p>
        </w:tc>
        <w:tc>
          <w:tcPr>
            <w:tcW w:type="dxa" w:w="30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Cobertura</w:t>
            </w:r>
          </w:p>
        </w:tc>
      </w:tr>
      <w:tr>
        <w:tc>
          <w:tcPr>
            <w:tcW w:type="dxa" w:w="30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 / 9 (100%)</w:t>
            </w:r>
          </w:p>
        </w:tc>
        <w:tc>
          <w:tcPr>
            <w:tcW w:type="dxa" w:w="30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 / 9 (100%)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100% ✅</w:t>
            </w:r>
          </w:p>
        </w:tc>
      </w:tr>
    </w:tbl>
    <w:p>
      <w:r>
        <w:rPr>
          <w:sz w:val="10"/>
          <w:szCs w:val="10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3. Artefactos relacionados</w:t>
      </w:r>
    </w:p>
    <w:p>
      <w:r>
        <w:rPr>
          <w:rFonts w:ascii="Arial" w:cs="Arial" w:eastAsia="Arial" w:hAnsi="Arial"/>
          <w:sz w:val="20"/>
          <w:szCs w:val="20"/>
        </w:rPr>
        <w:t xml:space="preserve">• SRS-FEAT-015.md · HLD-FEAT-015-Sprint17.docx · LLD-FEAT-015-Backend-Sprint17.docx</w:t>
      </w:r>
    </w:p>
    <w:p>
      <w:r>
        <w:rPr>
          <w:rFonts w:ascii="Arial" w:cs="Arial" w:eastAsia="Arial" w:hAnsi="Arial"/>
          <w:sz w:val="20"/>
          <w:szCs w:val="20"/>
        </w:rPr>
        <w:t xml:space="preserve">• LLD-FEAT-015-Frontend-Sprint17.docx · QUALITY-SUMMARY-Sprint17.docx · RELEASE-NOTES-v1.17.0.docx</w:t>
      </w:r>
    </w:p>
    <w:p>
      <w:r>
        <w:rPr>
          <w:sz w:val="10"/>
          <w:szCs w:val="10"/>
        </w:rPr>
        <w:t xml:space="preserve"/>
      </w:r>
    </w:p>
    <w:p>
      <w:r>
        <w:rPr>
          <w:rFonts w:ascii="Arial" w:cs="Arial" w:eastAsia="Arial" w:hAnsi="Arial"/>
          <w:color w:val="888888"/>
          <w:sz w:val="16"/>
          <w:szCs w:val="16"/>
        </w:rPr>
        <w:t xml:space="preserve">SOFIA Documentation Agent — CMMI REQM SP 1.1/1.4 · Sprint 17 · BankPortal · 2026-04-22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6B" w:sz="4"/>
      </w:pBdr>
    </w:pPr>
    <w:r>
      <w:rPr>
        <w:rFonts w:ascii="Arial" w:cs="Arial" w:eastAsia="Arial" w:hAnsi="Arial"/>
        <w:color w:val="888888"/>
        <w:sz w:val="16"/>
        <w:szCs w:val="16"/>
      </w:rPr>
      <w:t xml:space="preserve">SOFIA v1.9  ·  Sprint 17 · REQM  ·  Experis / ManpowerGroup  ·  Confidencial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6B" w:sz="6"/>
      </w:pBdr>
    </w:pPr>
    <w:r>
      <w:rPr>
        <w:rFonts w:ascii="Arial" w:cs="Arial" w:eastAsia="Arial" w:hAnsi="Arial"/>
        <w:b/>
        <w:bCs/>
        <w:color w:val="1B3A6B"/>
        <w:sz w:val="18"/>
        <w:szCs w:val="18"/>
      </w:rPr>
      <w:t xml:space="preserve">BankPortal · Banco Meridian   </w:t>
    </w:r>
    <w:r>
      <w:rPr>
        <w:rFonts w:ascii="Arial" w:cs="Arial" w:eastAsia="Arial" w:hAnsi="Arial"/>
        <w:color w:val="2E5F9E"/>
        <w:sz w:val="18"/>
        <w:szCs w:val="18"/>
      </w:rPr>
      <w:t xml:space="preserve">Traceability FEAT-015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2026-03-26T06:29:51.230Z</dcterms:created>
  <dcterms:modified xsi:type="dcterms:W3CDTF">2026-03-26T06:29:51.231Z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