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120" w:before="144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SPRINT 19 — PLANNING DOCUMENT</w:t>
      </w:r>
    </w:p>
    <w:p>
      <w:pPr>
        <w:shd w:fill="1B3A6B" w:val="clear"/>
        <w:spacing w:after="80" w:before="0"/>
        <w:jc w:val="center"/>
      </w:pPr>
      <w:r>
        <w:rPr>
          <w:rFonts w:ascii="Arial" w:cs="Arial" w:eastAsia="Arial" w:hAnsi="Arial"/>
          <w:color w:val="C8D8F4"/>
          <w:sz w:val="24"/>
          <w:szCs w:val="24"/>
        </w:rPr>
        <w:t xml:space="preserve">BankPortal · Banco Meridian · v1.19.0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6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Proyecto</w:t>
            </w:r>
          </w:p>
        </w:tc>
        <w:tc>
          <w:tcPr>
            <w:tcW w:type="dxa" w:w="6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BankPortal — Banco Meridian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Sprint</w:t>
            </w:r>
          </w:p>
        </w:tc>
        <w:tc>
          <w:tcPr>
            <w:tcW w:type="dxa" w:w="6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19 · Feature: FEAT-017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Release target</w:t>
            </w:r>
          </w:p>
        </w:tc>
        <w:tc>
          <w:tcPr>
            <w:tcW w:type="dxa" w:w="6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v1.19.0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Feature</w:t>
            </w:r>
          </w:p>
        </w:tc>
        <w:tc>
          <w:tcPr>
            <w:tcW w:type="dxa" w:w="6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Domiciliaciones y Recibos (SEPA Direct Debit Core)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Periodo</w:t>
            </w:r>
          </w:p>
        </w:tc>
        <w:tc>
          <w:tcPr>
            <w:tcW w:type="dxa" w:w="6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2026-03-02 → 2026-03-15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Capacidad</w:t>
            </w:r>
          </w:p>
        </w:tc>
        <w:tc>
          <w:tcPr>
            <w:tcW w:type="dxa" w:w="6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 Story Points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Metodología</w:t>
            </w:r>
          </w:p>
        </w:tc>
        <w:tc>
          <w:tcPr>
            <w:tcW w:type="dxa" w:w="6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Scrumban + CMMI Nivel 3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SOFIA Pipeline</w:t>
            </w:r>
          </w:p>
        </w:tc>
        <w:tc>
          <w:tcPr>
            <w:tcW w:type="dxa" w:w="6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v2.3 · 21 agentes · 15 steps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Sprint Goal</w:t>
      </w:r>
    </w:p>
    <w:p>
      <w:pPr>
        <w:pBdr>
          <w:left w:val="single" w:color="1B3A6B" w:sz="12" w:space="4"/>
        </w:pBdr>
        <w:shd w:fill="EEF4FF" w:val="clear"/>
        <w:spacing w:after="120" w:before="120"/>
      </w:pPr>
      <w:r>
        <w:rPr>
          <w:rFonts w:ascii="Arial" w:cs="Arial" w:eastAsia="Arial" w:hAnsi="Arial"/>
          <w:b/>
          <w:bCs/>
          <w:i/>
          <w:iCs/>
          <w:color w:val="1B3A6B"/>
          <w:sz w:val="22"/>
          <w:szCs w:val="22"/>
        </w:rPr>
        <w:t xml:space="preserve">Implementar el ciclo de vida completo de domiciliaciones SEPA: alta de mandatos, procesamiento automático de cargos, consulta de historial y gestión de recibos para cumplimiento del SEPA Core Rulebook 2024.</w:t>
      </w:r>
    </w:p>
    <w:p>
      <w:pPr>
        <w:pBdr>
          <w:bottom w:val="single" w:color="E2E8F0" w:sz="2" w:space="1"/>
        </w:pBdr>
        <w:spacing w:after="40" w:before="4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Sprint Backlog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00"/>
        <w:gridCol w:w="700"/>
        <w:gridCol w:w="1000"/>
        <w:gridCol w:w="1200"/>
      </w:tblGrid>
      <w:tr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4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Historia de usuario / Descripcion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F9E"/>
                <w:sz w:val="17"/>
                <w:szCs w:val="17"/>
              </w:rPr>
              <w:t xml:space="preserve">SCRUM-88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[FEAT-017] Alta de mandato SEPA Direct Debit con firma digital del deudor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Historia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F9E"/>
                <w:sz w:val="17"/>
                <w:szCs w:val="17"/>
              </w:rPr>
              <w:t xml:space="preserve">SCRUM-89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[FEAT-017] Procesamiento automático de cargos de domiciliaciones activas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Historia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F9E"/>
                <w:sz w:val="17"/>
                <w:szCs w:val="17"/>
              </w:rPr>
              <w:t xml:space="preserve">SCRUM-90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[FEAT-017] Consulta y gestión del historial de recibos domiciliados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Historia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6"/>
                <w:szCs w:val="16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F9E"/>
                <w:sz w:val="17"/>
                <w:szCs w:val="17"/>
              </w:rPr>
              <w:t xml:space="preserve">SCRUM-91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[FEAT-017] Cancelación de mandato y notificación al acreedor (SEPA)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Historia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F9E"/>
                <w:sz w:val="17"/>
                <w:szCs w:val="17"/>
              </w:rPr>
              <w:t xml:space="preserve">SCRUM-92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[FEAT-017] Notificaciones push para cargo inminente y cargo procesado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Historia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6"/>
                <w:szCs w:val="16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F9E"/>
                <w:sz w:val="17"/>
                <w:szCs w:val="17"/>
              </w:rPr>
              <w:t xml:space="preserve">SCRUM-93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[DEBT-032] Lambda refactor → named classes en servicios de transacciones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Deuda Técnica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6"/>
                <w:szCs w:val="16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F9E"/>
                <w:sz w:val="17"/>
                <w:szCs w:val="17"/>
              </w:rPr>
              <w:t xml:space="preserve">SCRUM-94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[DEBT-033] Split Angular AuthService → TokenService + SessionService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Deuda Técnica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6"/>
                <w:szCs w:val="16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F9E"/>
                <w:sz w:val="17"/>
                <w:szCs w:val="17"/>
              </w:rPr>
              <w:t xml:space="preserve">SCRUM-95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[DEBT-034] Strategy pattern en DebitProcessorService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Deuda Técnica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6"/>
                <w:szCs w:val="16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E2E8F0" w:sz="2" w:space="1"/>
        </w:pBdr>
        <w:spacing w:after="40" w:before="4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Deuda Técnica Incluida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5F9E"/>
          <w:sz w:val="20"/>
          <w:szCs w:val="20"/>
        </w:rPr>
        <w:t xml:space="preserve">DEBT-032 — Lambda refactor → named classes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Lambdas anónimas complejas en TransactionService y DirectDebitService detectadas en CR S18.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5F9E"/>
          <w:sz w:val="20"/>
          <w:szCs w:val="20"/>
        </w:rPr>
        <w:t xml:space="preserve">DEBT-033 — Angular AuthService split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AuthService monolítico (380 líneas) con dependencias cíclicas. Dividir en servicios cohesivos.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5F9E"/>
          <w:sz w:val="20"/>
          <w:szCs w:val="20"/>
        </w:rPr>
        <w:t xml:space="preserve">DEBT-034 — Strategy pattern DebitProcessorService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Bloque if/else extenso en DebitProcessorService. Migrar a Strategy + Factory (OCP).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E2E8F0" w:sz="2" w:space="1"/>
        </w:pBdr>
        <w:spacing w:after="40" w:before="4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Criterios de Aceptación Globales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Todos los Story Points entregados y en estado Finalizada en Jira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Cobertura de tests ≥ 85%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0 NCS (Non-Conformances) sin resolver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0 defectos en producción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Smoke test vv1.19.0 PASS en STG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Flyway migrations ejecutadas sin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JPA-REAL activo en STG (LA-019-08)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Todos los gates G-1..G-9 aprobados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Documentación generada: 10+ DOCX + 3 XLSX + dashboard</w:t>
      </w:r>
    </w:p>
    <w:p>
      <w:pPr>
        <w:pBdr>
          <w:bottom w:val="single" w:color="E2E8F0" w:sz="2" w:space="1"/>
        </w:pBdr>
        <w:spacing w:after="40" w:before="4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Contexto y Métricas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20"/>
        <w:gridCol w:w="2020"/>
        <w:gridCol w:w="2020"/>
      </w:tblGrid>
      <w:tr>
        <w:tc>
          <w:tcPr>
            <w:tcW w:type="dxa" w:w="3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20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ant.</w:t>
            </w:r>
          </w:p>
        </w:tc>
        <w:tc>
          <w:tcPr>
            <w:tcW w:type="dxa" w:w="20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19</w:t>
            </w:r>
          </w:p>
        </w:tc>
        <w:tc>
          <w:tcPr>
            <w:tcW w:type="dxa" w:w="20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 acumulados</w:t>
            </w:r>
          </w:p>
        </w:tc>
        <w:tc>
          <w:tcPr>
            <w:tcW w:type="dxa" w:w="2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425</w:t>
            </w:r>
          </w:p>
        </w:tc>
        <w:tc>
          <w:tcPr>
            <w:tcW w:type="dxa" w:w="2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F9E"/>
                <w:sz w:val="18"/>
                <w:szCs w:val="18"/>
              </w:rPr>
              <w:t xml:space="preserve">449 (proyectado)</w:t>
            </w:r>
          </w:p>
        </w:tc>
        <w:tc>
          <w:tcPr>
            <w:tcW w:type="dxa" w:w="2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Velocidad media</w:t>
            </w:r>
          </w:p>
        </w:tc>
        <w:tc>
          <w:tcPr>
            <w:tcW w:type="dxa" w:w="2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23.6 SP/sprint</w:t>
            </w:r>
          </w:p>
        </w:tc>
        <w:tc>
          <w:tcPr>
            <w:tcW w:type="dxa" w:w="2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24 SP</w:t>
            </w:r>
          </w:p>
        </w:tc>
        <w:tc>
          <w:tcPr>
            <w:tcW w:type="dxa" w:w="2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23 SP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Cobertura objetivo</w:t>
            </w:r>
          </w:p>
        </w:tc>
        <w:tc>
          <w:tcPr>
            <w:tcW w:type="dxa" w:w="2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85%</w:t>
            </w:r>
          </w:p>
        </w:tc>
        <w:tc>
          <w:tcPr>
            <w:tcW w:type="dxa" w:w="2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≥ 85%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NCS objetivo</w:t>
            </w:r>
          </w:p>
        </w:tc>
        <w:tc>
          <w:tcPr>
            <w:tcW w:type="dxa" w:w="2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0</w:t>
            </w:r>
          </w:p>
        </w:tc>
        <w:tc>
          <w:tcPr>
            <w:tcW w:type="dxa" w:w="2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2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888888"/>
        <w:sz w:val="14"/>
        <w:szCs w:val="14"/>
      </w:rPr>
      <w:t xml:space="preserve">SOFIA v2.3 · Confidencial · Experis Spain · ManpowerGroup</w:t>
    </w:r>
    <w:r>
      <w:rPr>
        <w:rFonts w:ascii="Arial" w:cs="Arial" w:eastAsia="Arial" w:hAnsi="Arial"/>
        <w:color w:val="888888"/>
        <w:sz w:val="14"/>
        <w:szCs w:val="14"/>
      </w:rPr>
      <w:t xml:space="preserve">	Pág.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2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olor w:val="1B3A6B"/>
        <w:sz w:val="16"/>
        <w:szCs w:val="16"/>
      </w:rPr>
      <w:t xml:space="preserve">SOFIA · Experis · BankPortal — Banco Meridian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Sprint 19 Planning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B3A6B" w:val="clear"/>
      <w:spacing w:after="120" w:before="28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2026-03-30T11:13:28.818Z</dcterms:created>
  <dcterms:modified xsi:type="dcterms:W3CDTF">2026-03-30T11:13:28.818Z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