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Resumen de Calidad · Sprint 21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· Métricas y Semáforos de Calidad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Semáforos de calidad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unitarios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20/20 PASS — Cobertura ≥ 88%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funcionales (Gherkin)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 TCs: 24 PASS, 0 FAIL, 3 BLOCKED/DEBT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tests (BD real)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9/9 PASS — SpringContextIT + V22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CVE críticos — 2 hallazgos SAST DEBT target S21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Accesibilidad WCAG 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 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APROBADO — 3 fixes aplicados (1 MAYOR + 2 MENOR)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Deuda técnica crítica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 CVSS 5.3 + DEBT-041 CVSS 4.8 target S21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 GDPR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Arts. 7/12/15/16/17/20 — condición OTP (DEBT-041)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Métricas de calidad Sprint 21 vs Sprint 20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7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19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20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21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completados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Estable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tests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↑ Mejora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críticos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Estable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 abiertas al cierre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Estable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Estable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Gherkin coverage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Estable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9/9 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↑ Mejora (+3 V22)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DEBTs CVSS≥4 activos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(resueltos)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(S21)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↓ Pendiente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Test cases — distribución por nivel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800"/>
        <w:gridCol w:w="1000"/>
        <w:gridCol w:w="1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Unitarios (Developer)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/ Gherkin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scenarios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(BD real)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Hallazgos del sprint y estado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200"/>
        <w:gridCol w:w="2200"/>
        <w:gridCol w:w="1500"/>
      </w:tblGrid>
      <w:tr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RV-F019-01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MAYOR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@PreAuthorize ADMIN en AdminGdprController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RV-F019-02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Menor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SpringContextIT sin TCs para tablas V22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RV-F019-03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Menor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environment.ts desincronizado con prod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SEC-F019-01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Medio (5.3)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DataExportService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DEBT-040 S21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SEC-F019-02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Medio (4.8)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no validado requestDeletion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DEBT-041 S21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SEC-F019-03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🔵 Bajo (2.1)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 token sin TTL 24h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DEBT-042 S22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Lección aprendida — Documentación</w:t>
      </w:r>
    </w:p>
    <w:p>
      <w:pPr>
        <w:spacing w:after="60" w:before="60"/>
      </w:pPr>
      <w:r>
        <w:rPr>
          <w:rFonts w:ascii="Arial" w:cs="Arial" w:eastAsia="Arial" w:hAnsi="Arial"/>
          <w:color w:val="C84A14"/>
          <w:sz w:val="20"/>
          <w:szCs w:val="20"/>
        </w:rPr>
        <w:t xml:space="preserve">LA-021-03 (nueva): El Documentation Agent DEBE generar siempre los 12 documentos estándar por sprint. Los 7 documentos adicionales (CMMI-Evidence, Meeting-Minutes, Project-Plan, Quality-Summary, Risk-Register, Traceability, planning-doc) son BLOQUEANTES para Gate G-8 desde Sprint 22. Se actualizará el SKILL.md del Documentation Agent y la checklist de G-8.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Generado por SOFIA v2.3 — Documentation Agent — Sprint 21 — 31/03/2026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2026-04-01T05:57:31.189Z</dcterms:created>
  <dcterms:modified xsi:type="dcterms:W3CDTF">2026-04-01T05:57:31.189Z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