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B3A6B"/>
          <w:sz w:val="32"/>
          <w:szCs w:val="32"/>
        </w:rPr>
        <w:t xml:space="preserve">Risk Register — BankPortal</w:t>
      </w:r>
    </w:p>
    <w:p>
      <w:pPr>
        <w:spacing w:after="80"/>
      </w:pPr>
      <w:r>
        <w:rPr>
          <w:rFonts w:ascii="Arial" w:cs="Arial" w:eastAsia="Arial" w:hAnsi="Arial"/>
          <w:color w:val="2E5F9E"/>
          <w:sz w:val="20"/>
          <w:szCs w:val="20"/>
        </w:rPr>
        <w:t xml:space="preserve">Proyecto: BankPortal — Banco Meridian · FEAT-001 2FA</w:t>
      </w:r>
    </w:p>
    <w:p>
      <w:pPr>
        <w:spacing w:after="80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Fecha: 2026-04-10 · Sprint cierre: 2 · Estado: FEAT-001 CLOSED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B3A6B"/>
          <w:sz w:val="26"/>
          <w:szCs w:val="26"/>
        </w:rPr>
        <w:t xml:space="preserve">Registro de Riesgos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00"/>
        <w:gridCol w:w="400"/>
        <w:gridCol w:w="900"/>
        <w:gridCol w:w="2026"/>
        <w:gridCol w:w="900"/>
        <w:gridCol w:w="900"/>
      </w:tblGrid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Riesgo</w:t>
            </w:r>
          </w:p>
        </w:tc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</w:t>
            </w:r>
          </w:p>
        </w:tc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Exposición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Plan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Estado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Cierre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R-001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JWT HS256 comprometido</w:t>
            </w:r>
          </w:p>
        </w:tc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🟡 Media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DEBT-002 → RSA-256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✅ CERRADO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v1.1.0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R-002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Rate limit in-process multi-nodo</w:t>
            </w:r>
          </w:p>
        </w:tc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</w:t>
            </w:r>
          </w:p>
        </w:tc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🟡 Media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DEBT-001 → Redis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✅ CERRADO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v1.1.0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R-003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Cobertura E2E insuficiente</w:t>
            </w:r>
          </w:p>
        </w:tc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</w:t>
            </w:r>
          </w:p>
        </w:tc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🟠 Alta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US-007 Playwright Sprint 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✅ CERRADO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Sprint 2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R-004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Complejidad TOTP RFC 6238</w:t>
            </w:r>
          </w:p>
        </w:tc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🟢 Baja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Sprint 1 cubierto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✅ CERRADO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Sprint 1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R-005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Migración BD en PROD</w:t>
            </w:r>
          </w:p>
        </w:tc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🟡 Media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Flyway rollback probado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✅ CERRADO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v1.0.0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R-006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Performance con rate limiter</w:t>
            </w:r>
          </w:p>
        </w:tc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🟢 Baja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Redis distribuido &lt; 5ms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✅ CERRADO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DEBT-001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R-007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Sincronización TOTP cliente</w:t>
            </w:r>
          </w:p>
        </w:tc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🟢 Baja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Ventana tolerancia ±30s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✅ CERRADO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Sprint 1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R-008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FEAT-001 no cierra en Sprint 2</w:t>
            </w:r>
          </w:p>
        </w:tc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🟡 Media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24 SP = 24 SP scope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✅ CERRADO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Sprint 2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NEW-R-001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Redis no disponible en STG</w:t>
            </w:r>
          </w:p>
        </w:tc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</w:t>
            </w:r>
          </w:p>
        </w:tc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🟡 Media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Redis disponible día 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✅ CERRADO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Sprint 2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NEW-R-002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Keypair RSA no provisionado</w:t>
            </w:r>
          </w:p>
        </w:tc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🟡 Media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Keypair generado día 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✅ CERRADO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Sprint 2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NEW-R-003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E2E Playwright falla en CI</w:t>
            </w:r>
          </w:p>
        </w:tc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</w:t>
            </w:r>
          </w:p>
        </w:tc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🟠 Alta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TOTP_TEST_SECRET pendiente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9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⚠️ ABIERTO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Sprint 3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B3A6B"/>
          <w:sz w:val="26"/>
          <w:szCs w:val="26"/>
        </w:rPr>
        <w:t xml:space="preserve">Leyenda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 — Probabilidad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B=Baja · M=Media · A=Alta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 — Impacto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B=Bajo · M=Medio · A=Alto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Exposición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🔴 Crítica · 🟠 Alta · 🟡 Media · 🟢 Baja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B3A6B"/>
          <w:sz w:val="26"/>
          <w:szCs w:val="26"/>
        </w:rPr>
        <w:t xml:space="preserve">Resumen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Riesgos totales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Cerrados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Abiertos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 — NEW-R-003 (Exposición Alta)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Acción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DevOps: configurar TOTP_TEST_SECRET en Jenkins antes de Sprint 3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SOFIA SM Agent — Experis · 2026-04-10</w:t>
      </w:r>
    </w:p>
    <w:sectPr>
      <w:headerReference w:type="default" r:id="rId7"/>
      <w:footerReference w:type="default" r:id="rId8"/>
      <w:pgSz w:w="11906" w:h="16838" w:orient="portrait"/>
      <w:pgMar w:top="1270" w:right="1270" w:bottom="1270" w:left="127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B3A6B" w:sz="6" w:space="1"/>
      </w:pBdr>
      <w:tabs>
        <w:tab w:val="center" w:pos="4513"/>
        <w:tab w:val="right" w:pos="9026"/>
      </w:tabs>
    </w:pPr>
    <w:r>
      <w:rPr>
        <w:rFonts w:ascii="Arial" w:cs="Arial" w:eastAsia="Arial" w:hAnsi="Arial"/>
        <w:color w:val="666666"/>
        <w:sz w:val="16"/>
        <w:szCs w:val="16"/>
      </w:rPr>
      <w:t xml:space="preserve">Confidencial — Experis</w:t>
    </w:r>
    <w:r>
      <w:rPr>
        <w:rFonts w:ascii="Arial" w:cs="Arial" w:eastAsia="Arial" w:hAnsi="Arial"/>
        <w:color w:val="666666"/>
        <w:sz w:val="16"/>
        <w:szCs w:val="16"/>
      </w:rPr>
      <w:t xml:space="preserve">	Página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66666"/>
        <w:sz w:val="16"/>
        <w:szCs w:val="16"/>
      </w:rPr>
      <w:t xml:space="preserve">	2026-04-10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A6B" w:sz="6" w:space="1"/>
      </w:pBdr>
      <w:tabs>
        <w:tab w:val="right" w:pos="9026"/>
      </w:tabs>
    </w:pPr>
    <w:r>
      <w:rPr>
        <w:rFonts w:ascii="Arial" w:cs="Arial" w:eastAsia="Arial" w:hAnsi="Arial"/>
        <w:b/>
        <w:bCs/>
        <w:color w:val="1B3A6B"/>
        <w:sz w:val="18"/>
        <w:szCs w:val="18"/>
      </w:rPr>
      <w:t xml:space="preserve">EXPERIS  |  SOFIA Software Factory</w:t>
    </w:r>
    <w:r>
      <w:rPr>
        <w:rFonts w:ascii="Arial" w:cs="Arial" w:eastAsia="Arial" w:hAnsi="Arial"/>
        <w:color w:val="444444"/>
        <w:sz w:val="18"/>
        <w:szCs w:val="18"/>
      </w:rPr>
      <w:t xml:space="preserve">	BankPortal — Risk Register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Arial" w:cs="Arial" w:eastAsia="Arial" w:hAnsi="Arial"/>
      <w:b/>
      <w:bCs/>
      <w:color w:val="1B3A6B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Arial" w:cs="Arial" w:eastAsia="Arial" w:hAnsi="Arial"/>
      <w:b/>
      <w:bCs/>
      <w:color w:val="2E5F9E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Arial" w:cs="Arial" w:eastAsia="Arial" w:hAnsi="Arial"/>
      <w:b/>
      <w:bCs/>
      <w:color w:val="4A7EC2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2026-03-16T19:12:51.717Z</dcterms:created>
  <dcterms:modified xsi:type="dcterms:W3CDTF">2026-03-16T19:12:51.717Z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