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800"/>
        <w:jc w:val="center"/>
      </w:pPr>
      <w:r>
        <w:rPr>
          <w:rFonts w:ascii="Arial" w:cs="Arial" w:eastAsia="Arial" w:hAnsi="Arial"/>
          <w:b/>
          <w:bCs/>
          <w:color w:val="1B3A6B"/>
          <w:sz w:val="22"/>
          <w:szCs w:val="22"/>
        </w:rPr>
        <w:t xml:space="preserve">EXPERIS | ManpowerGroup</w:t>
      </w:r>
    </w:p>
    <w:p>
      <w:pPr>
        <w:spacing w:after="200" w:before="400"/>
        <w:jc w:val="center"/>
      </w:pPr>
      <w:r>
        <w:rPr>
          <w:rFonts w:ascii="Arial" w:cs="Arial" w:eastAsia="Arial" w:hAnsi="Arial"/>
          <w:b/>
          <w:bCs/>
          <w:color w:val="1B3A6B"/>
          <w:sz w:val="40"/>
          <w:szCs w:val="40"/>
        </w:rPr>
        <w:t xml:space="preserve">Test Plan &amp; QA Report</w:t>
      </w:r>
    </w:p>
    <w:p>
      <w:pPr>
        <w:spacing w:after="100" w:before="100"/>
        <w:jc w:val="center"/>
      </w:pPr>
      <w:r>
        <w:rPr>
          <w:rFonts w:ascii="Arial" w:cs="Arial" w:eastAsia="Arial" w:hAnsi="Arial"/>
          <w:color w:val="555555"/>
          <w:sz w:val="24"/>
          <w:szCs w:val="24"/>
        </w:rPr>
        <w:t xml:space="preserve">FEAT-019 — Verificación y Validación Sprint 21</w:t>
      </w:r>
    </w:p>
    <w:p>
      <w:pPr>
        <w:spacing w:after="50" w:before="300"/>
        <w:jc w:val="center"/>
      </w:pPr>
      <w:r>
        <w:rPr>
          <w:rFonts w:ascii="Arial" w:cs="Arial" w:eastAsia="Arial" w:hAnsi="Arial"/>
          <w:sz w:val="20"/>
          <w:szCs w:val="20"/>
        </w:rPr>
        <w:t xml:space="preserve">Proyecto: BankPortal — Banco Meridian</w:t>
      </w:r>
    </w:p>
    <w:p>
      <w:pPr>
        <w:jc w:val="center"/>
      </w:pPr>
      <w:r>
        <w:rPr>
          <w:rFonts w:ascii="Arial" w:cs="Arial" w:eastAsia="Arial" w:hAnsi="Arial"/>
          <w:sz w:val="20"/>
          <w:szCs w:val="20"/>
        </w:rPr>
        <w:t xml:space="preserve">Sprint 21 | FEAT-019 | v1.21.0 | 31/03/2026</w:t>
      </w:r>
    </w:p>
    <w:p>
      <w:pPr>
        <w:spacing w:after="50" w:before="100"/>
        <w:jc w:val="center"/>
      </w:pP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CONFIDENCIAL — Uso interno Experis</w:t>
      </w:r>
    </w:p>
    <w:p>
      <w:pPr>
        <w:pBdr>
          <w:bottom w:val="single" w:color="CCCCCC" w:sz="1"/>
        </w:pBdr>
        <w:spacing w:after="80" w:before="80"/>
      </w:pPr>
    </w:p>
    <w:p>
      <w:pPr>
        <w:spacing w:after="120" w:before="300"/>
      </w:pPr>
      <w:r>
        <w:rPr>
          <w:rFonts w:ascii="Arial" w:cs="Arial" w:eastAsia="Arial" w:hAnsi="Arial"/>
          <w:b/>
          <w:bCs/>
          <w:color w:val="1B3A6B"/>
          <w:sz w:val="28"/>
          <w:szCs w:val="28"/>
        </w:rPr>
        <w:t xml:space="preserve">1. Resumen de ejecución</w:t>
      </w:r>
    </w:p>
    <w:tbl>
      <w:tblPr>
        <w:tblW w:type="dxa" w:w="6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000"/>
        <w:gridCol w:w="1000"/>
        <w:gridCol w:w="1000"/>
        <w:gridCol w:w="1000"/>
      </w:tblGrid>
      <w:tr>
        <w:tc>
          <w:tcPr>
            <w:tcW w:type="dxa" w:w="22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Nivel</w:t>
            </w:r>
          </w:p>
        </w:tc>
        <w:tc>
          <w:tcPr>
            <w:tcW w:type="dxa" w:w="10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Total</w:t>
            </w:r>
          </w:p>
        </w:tc>
        <w:tc>
          <w:tcPr>
            <w:tcW w:type="dxa" w:w="10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PASS</w:t>
            </w:r>
          </w:p>
        </w:tc>
        <w:tc>
          <w:tcPr>
            <w:tcW w:type="dxa" w:w="10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FAIL</w:t>
            </w:r>
          </w:p>
        </w:tc>
        <w:tc>
          <w:tcPr>
            <w:tcW w:type="dxa" w:w="10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BLOCKED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Unitarios (Developer)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20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20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0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Funcional / Gherkin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27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24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3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Seguridad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8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6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2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WCAG 2.1 AA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5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5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0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Integration (BD real)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9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9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0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TOTAL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69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65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4</w:t>
            </w:r>
          </w:p>
        </w:tc>
      </w:tr>
    </w:tbl>
    <w:p>
      <w:pPr>
        <w:spacing w:after="120" w:before="300"/>
      </w:pPr>
      <w:r>
        <w:rPr>
          <w:rFonts w:ascii="Arial" w:cs="Arial" w:eastAsia="Arial" w:hAnsi="Arial"/>
          <w:b/>
          <w:bCs/>
          <w:color w:val="1B3A6B"/>
          <w:sz w:val="28"/>
          <w:szCs w:val="28"/>
        </w:rPr>
        <w:t xml:space="preserve">2. Cobertura Gherkin (16/16 scenarios)</w:t>
      </w:r>
    </w:p>
    <w:tbl>
      <w:tblPr>
        <w:tblW w:type="dxa" w:w="6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200"/>
        <w:gridCol w:w="1000"/>
        <w:gridCol w:w="2000"/>
      </w:tblGrid>
      <w:tr>
        <w:tc>
          <w:tcPr>
            <w:tcW w:type="dxa" w:w="20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</w:t>
            </w:r>
          </w:p>
        </w:tc>
        <w:tc>
          <w:tcPr>
            <w:tcW w:type="dxa" w:w="12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Scenarios</w:t>
            </w:r>
          </w:p>
        </w:tc>
        <w:tc>
          <w:tcPr>
            <w:tcW w:type="dxa" w:w="10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TCs QA</w:t>
            </w:r>
          </w:p>
        </w:tc>
        <w:tc>
          <w:tcPr>
            <w:tcW w:type="dxa" w:w="20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Estado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SCRUM-106 (Perfil)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5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7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✅ PASS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SCRUM-107 (Sesiones)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3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✅ PASS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SCRUM-108 (Consentimientos)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2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5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✅ PASS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SCRUM-109 (Data Export)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2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✅ PASS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SCRUM-110 (Supresión)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2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✅/⚠️ DEBT-041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SCRUM-111 (Admin GDPR)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2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3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✅ PASS</w:t>
            </w:r>
          </w:p>
        </w:tc>
      </w:tr>
    </w:tbl>
    <w:p>
      <w:pPr>
        <w:spacing w:after="120" w:before="300"/>
      </w:pPr>
      <w:r>
        <w:rPr>
          <w:rFonts w:ascii="Arial" w:cs="Arial" w:eastAsia="Arial" w:hAnsi="Arial"/>
          <w:b/>
          <w:bCs/>
          <w:color w:val="1B3A6B"/>
          <w:sz w:val="28"/>
          <w:szCs w:val="28"/>
        </w:rPr>
        <w:t xml:space="preserve">3. TCs Blocked — DEBTs conocidos</w:t>
      </w:r>
    </w:p>
    <w:tbl>
      <w:tblPr>
        <w:tblW w:type="dxa" w:w="6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1100"/>
        <w:gridCol w:w="800"/>
        <w:gridCol w:w="2600"/>
        <w:gridCol w:w="800"/>
      </w:tblGrid>
      <w:tr>
        <w:tc>
          <w:tcPr>
            <w:tcW w:type="dxa" w:w="13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TC</w:t>
            </w:r>
          </w:p>
        </w:tc>
        <w:tc>
          <w:tcPr>
            <w:tcW w:type="dxa" w:w="11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DEBT</w:t>
            </w:r>
          </w:p>
        </w:tc>
        <w:tc>
          <w:tcPr>
            <w:tcW w:type="dxa" w:w="8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CVSS</w:t>
            </w:r>
          </w:p>
        </w:tc>
        <w:tc>
          <w:tcPr>
            <w:tcW w:type="dxa" w:w="26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Descripción</w:t>
            </w:r>
          </w:p>
        </w:tc>
        <w:tc>
          <w:tcPr>
            <w:tcW w:type="dxa" w:w="8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Target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TC-F019-21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DEBT-041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4.8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OTP no validado en requestDeletion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S21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TC-SEC-F019-07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DEBT-041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4.8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Guardia OTP inaccesible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S21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TC-SEC-F019-08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DEBT-040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5.3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Race condition data-export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S21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TC-F019-24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DEBT-042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2.1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Token supresión sin TTL 24h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S22</w:t>
            </w:r>
          </w:p>
        </w:tc>
      </w:tr>
    </w:tbl>
    <w:p>
      <w:pPr>
        <w:spacing w:after="120" w:before="300"/>
      </w:pPr>
      <w:r>
        <w:rPr>
          <w:rFonts w:ascii="Arial" w:cs="Arial" w:eastAsia="Arial" w:hAnsi="Arial"/>
          <w:b/>
          <w:bCs/>
          <w:color w:val="1B3A6B"/>
          <w:sz w:val="28"/>
          <w:szCs w:val="28"/>
        </w:rPr>
        <w:t xml:space="preserve">4. Repositorio activo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JPA-REAL — SpringContextIT PASS. Tablas V22 verificadas (TC-IT-001-G/H/I).</w:t>
      </w:r>
    </w:p>
    <w:p>
      <w:pPr>
        <w:spacing w:after="120" w:before="300"/>
      </w:pPr>
      <w:r>
        <w:rPr>
          <w:rFonts w:ascii="Arial" w:cs="Arial" w:eastAsia="Arial" w:hAnsi="Arial"/>
          <w:b/>
          <w:bCs/>
          <w:color w:val="1B3A6B"/>
          <w:sz w:val="28"/>
          <w:szCs w:val="28"/>
        </w:rPr>
        <w:t xml:space="preserve">5. Veredicto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✅ LISTO PARA RELEASE CON CONDICIONES. 0 defectos críticos. DEBT-040/041 target S21 (LA-020-02).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2026-04-01T05:41:28.576Z</dcterms:created>
  <dcterms:modified xsi:type="dcterms:W3CDTF">2026-04-01T05:41:28.576Z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