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Security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— Semáforo VERDE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Última auditoría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altos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LOW transitivos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(DEBT-060)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SAST findings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BAJO (SEC-F024-01 → DEBT-059)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SAST blocker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 en código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compliant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compliant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Controles de seguridad implementados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Autorización: ownership check obligatorio en todos los endpoints /savings/goals/{id}/* (goalOwnerGuard backend)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Auditoría: SecurityEventType extendido con SAVINGS_GOAL_CREATED, SAVINGS_GOAL_CLOSED, SAVINGS_CONTRIBUTION_MADE, SAVINGS_AUTO_RULE_CONFIGURED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30 req/min/usuario en /savings/** (Redis token bucket)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 PSD2: cierres con devolución &gt; 30€ requieren X-OTP header (FEAT-001 2FA)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CSRF: token validado en POST/PUT/DELETE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CORS: orígenes restrictivos según application-prod.yml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SAST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000"/>
        <w:gridCol w:w="1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SEC-F024-01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Validación regex en title permitiría unicode normalization edge case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Aceptado · DEBT-059 S27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CVE LOW transitivos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CVEs LOW heredados de dependencias transitivas Spring Boot (preexistentes, no introducidos por FEAT-024)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DEBT-060 abierta para evaluación caso a caso (CVSS 3.1 ambos)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PCI-DSS y GDPR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PCI-DSS: no se manejan datos de tarjeta en savings (solo accounts internas)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GDPR Art.15 (acceso): savings_goals + goal_allocations añadidos a export FEAT-019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GDPR Art.17 (supresión): soft-delete con preservación 7 años (RN-F024-10) por obligación contable RDL 5/2018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Auditoría SecurityEvent retenida 7 años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Veredicto Step 5b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APPROVED sin condiciones · 0 CVEs críticos · 0 secrets · 1 hallazgo SAST BAJO documentado como DEBT-059. La feature FEAT-024 no introduce vectores nuevos de ataque significativos. Se recomienda activar monitorización de tasa 409 en producción para detectar abuso del retry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2026-05-10T10:53:14.025Z</dcterms:created>
  <dcterms:modified xsi:type="dcterms:W3CDTF">2026-05-10T10:53:14.025Z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