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Risk Register — BankPortal v1.2.0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E5F9E"/>
          <w:sz w:val="20"/>
          <w:szCs w:val="20"/>
        </w:rPr>
        <w:t xml:space="preserve">Sprint 2 | CMMI RSKM SP 1.1 · RSKM SP 2.1 · RSKM SP 3.1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BankPortal — Banco Meridian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v1.2.0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2026-01-30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Riesgos sprint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2526"/>
        <w:gridCol w:w="700"/>
        <w:gridCol w:w="700"/>
        <w:gridCol w:w="500"/>
        <w:gridCol w:w="1900"/>
        <w:gridCol w:w="8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Origen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Imp.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Mitigacion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R-002-01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RNF-001-02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Latencia /logout bajo carga — invalidacion masiva tokens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Redis SET con TTL igual a expiracion JWT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R-002-02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ARCH-001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Falta indice en token_revocations — full scan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Flyway V2 ADD INDEX token_hash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R-002-03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OPS-001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Limpieza tabla token_revocations no planificada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Job diario DEBT-002 Sprint 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Leyenda niveles de riesgo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3 — Alto: accion inmediata requerida este sprint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2 — Medio: planificar mitigacion proximo sprint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 — Bajo: monitorizar en dailies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riesgos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Nivel 3 (Alto)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rPr>
      <w:rFonts w:ascii="Arial" w:cs="Arial" w:eastAsia="Arial" w:hAnsi="Arial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2026-03-24T16:15:49.066Z</dcterms:created>
  <dcterms:modified xsi:type="dcterms:W3CDTF">2026-03-24T16:15:49.066Z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