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Traceability Matrix — FEAT-008 Sprint 10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E5F9E"/>
          <w:sz w:val="20"/>
          <w:szCs w:val="20"/>
        </w:rPr>
        <w:t xml:space="preserve">RF -&gt; US -&gt; QA -&gt; Componente -&gt; Artefacto -&gt; Normativa | CMMI REQM SP 1.3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FEAT-008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2026-05-22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Cobertura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5/5 items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Matriz de trazabilidad bidireccional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1200"/>
        <w:gridCol w:w="1700"/>
        <w:gridCol w:w="1426"/>
        <w:gridCol w:w="1000"/>
        <w:gridCol w:w="9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Tests QA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Artefacto BD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Normativa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RF-008-01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US-1001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QA-F008-01..06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TransferController.create()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transfers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PSD2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RF-008-02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US-1002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QA-F008-07..12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TransferConfirmService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2FA TOTP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PSD2 Art.97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RF-008-03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US-1003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QA-F008-13..18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TransferController.history()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transfers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RF-008-04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US-1004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QA-F008-19..23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LimitService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daily_limits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RF-008-05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US-1005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QA-F008-24..28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TransferEventPublisher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SSE + email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Cobertura: 100% (5/5 items con al menos 1 test asociado). CMMI REQM SP 1.3 conforme.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2026-03-24T16:15:49.824Z</dcterms:created>
  <dcterms:modified xsi:type="dcterms:W3CDTF">2026-03-24T16:15:49.824Z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