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20" w:before="144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SPRINT 20 — PLANNING DOCUMENT</w:t>
      </w:r>
    </w:p>
    <w:p>
      <w:pPr>
        <w:shd w:fill="1B3A6B" w:val="clear"/>
        <w:spacing w:after="80" w:before="0"/>
        <w:jc w:val="center"/>
      </w:pPr>
      <w:r>
        <w:rPr>
          <w:rFonts w:ascii="Arial" w:cs="Arial" w:eastAsia="Arial" w:hAnsi="Arial"/>
          <w:color w:val="C8D8F4"/>
          <w:sz w:val="24"/>
          <w:szCs w:val="24"/>
        </w:rPr>
        <w:t xml:space="preserve">BankPortal · Banco Meridian · v1.20.0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Proyecto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BankPortal — Banco Meridian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20 · Feature: FEAT-018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Release target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v1.20.0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Exportación de Movimientos Bancarios (PDF/CSV)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Periodo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2026-03-16 → 2026-03-30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Capacidad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Story Points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Scrumban + CMMI Nivel 3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SOFIA Pipeline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v2.3 · 21 agentes · 15 steps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Sprint Goal</w:t>
      </w:r>
    </w:p>
    <w:p>
      <w:pPr>
        <w:pBdr>
          <w:left w:val="single" w:color="1B3A6B" w:sz="12" w:space="4"/>
        </w:pBdr>
        <w:shd w:fill="EEF4FF" w:val="clear"/>
        <w:spacing w:after="120" w:before="120"/>
      </w:pPr>
      <w:r>
        <w:rPr>
          <w:rFonts w:ascii="Arial" w:cs="Arial" w:eastAsia="Arial" w:hAnsi="Arial"/>
          <w:b/>
          <w:bCs/>
          <w:i/>
          <w:iCs/>
          <w:color w:val="1B3A6B"/>
          <w:sz w:val="22"/>
          <w:szCs w:val="22"/>
        </w:rPr>
        <w:t xml:space="preserve">Eliminar la deuda técnica acumulada en S19 y entregar exportación de movimientos en formato PDF y CSV para cumplimiento regulatorio PSD2 Art.47 (acceso al historial de pagos).</w:t>
      </w:r>
    </w:p>
    <w:p>
      <w:pPr>
        <w:pBdr>
          <w:bottom w:val="single" w:color="E2E8F0" w:sz="2" w:space="1"/>
        </w:pBd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Sprint Backlog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700"/>
        <w:gridCol w:w="1000"/>
        <w:gridCol w:w="1200"/>
      </w:tblGrid>
      <w:tr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 / Descripcion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SCRUM-98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[FEAT-018] Exportar movimientos en PDF con cabecera corporativa y filtro por fecha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SCRUM-99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[FEAT-018] Exportar movimientos en CSV (UTF-8 BOM, formato europeo)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SCRUM-100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[FEAT-018] Filtro multicriteria de movimientos previo a exportación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SCRUM-101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[FEAT-018] Audit log de exportaciones GDPR Art.15 + PCI-DSS Req.10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SCRUM-102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[DEBT-032] Lambda refactor → named classes (resolución desde S19)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Deuda Técnica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SCRUM-103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[DEBT-033] Split Angular AuthService → TokenService + SessionService + AuthGuard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Deuda Técnica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SCRUM-104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[DEBT-034] Strategy pattern en DebitProcessorService (SEPA Core/COR/Recurring)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Deuda Técnica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SCRUM-105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[DEBT-035] Handler RETURNED en CoreBankingWebhook + notificación push R-code SEPA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Deuda Técnica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Deuda Técnica Incluida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9E"/>
          <w:sz w:val="20"/>
          <w:szCs w:val="20"/>
        </w:rPr>
        <w:t xml:space="preserve">DEBT-032 — Lambda refactor → named classes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Resolución definitiva: NegativeAmountTransactionFilter, TransactionAmountDescComparator, ActiveDirectDebitFilter.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9E"/>
          <w:sz w:val="20"/>
          <w:szCs w:val="20"/>
        </w:rPr>
        <w:t xml:space="preserve">DEBT-033 — Angular AuthService split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TokenService (JWT lifecycle) + SessionService (Angular signal) + AuthGuard functional. 0 breaking changes.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9E"/>
          <w:sz w:val="20"/>
          <w:szCs w:val="20"/>
        </w:rPr>
        <w:t xml:space="preserve">DEBT-034 — Strategy pattern DebitProcessorService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SEPACoreDebitStrategy, SEPACORDebitStrategy, RecurringDebitStrategy. DebitProcessorStrategyFactory OCP.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9E"/>
          <w:sz w:val="20"/>
          <w:szCs w:val="20"/>
        </w:rPr>
        <w:t xml:space="preserve">DEBT-035 — Handler RETURNED CoreBanking webhook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CoreBankingReturnedHandler + SepaReturnCode R01-R10. Push notification con mensaje legible al usuario.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Criterios de Aceptación Globales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los Story Points entregados y en estado Finalizada en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Cobertura de tests ≥ 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0 NCS (Non-Conformances) sin resolver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0 defectos en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Smoke test vv1.20.0 PASS en STG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Flyway migrations ejecutadas sin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JPA-REAL activo en STG (LA-019-08)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los gates G-1..G-9 aprobados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Documentación generada: 10+ DOCX + 3 XLSX + dashboard</w:t>
      </w:r>
    </w:p>
    <w:p>
      <w:pPr>
        <w:pBdr>
          <w:bottom w:val="single" w:color="E2E8F0" w:sz="2" w:space="1"/>
        </w:pBd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Contexto y Métricas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20"/>
        <w:gridCol w:w="2020"/>
        <w:gridCol w:w="2020"/>
      </w:tblGrid>
      <w:t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ant.</w:t>
            </w:r>
          </w:p>
        </w:tc>
        <w:tc>
          <w:tcPr>
            <w:tcW w:type="dxa" w:w="20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20</w:t>
            </w:r>
          </w:p>
        </w:tc>
        <w:tc>
          <w:tcPr>
            <w:tcW w:type="dxa" w:w="20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449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473 (proyectado)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Velocidad media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23.6 SP/sprint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24 SP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23 SP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Cobertura objetivo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85%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≥ 85%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NCS objetivo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4"/>
        <w:szCs w:val="14"/>
      </w:rPr>
      <w:t xml:space="preserve">SOFIA v2.3 · Confidencial · Experis Spain · ManpowerGroup</w:t>
    </w:r>
    <w:r>
      <w:rPr>
        <w:rFonts w:ascii="Arial" w:cs="Arial" w:eastAsia="Arial" w:hAnsi="Arial"/>
        <w:color w:val="888888"/>
        <w:sz w:val="14"/>
        <w:szCs w:val="14"/>
      </w:rPr>
      <w:t xml:space="preserve">	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SOFIA · Experis · BankPortal — Banco Meridian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Sprint 20 Planning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B3A6B" w:val="clear"/>
      <w:spacing w:after="120" w:before="2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2026-03-30T11:13:28.840Z</dcterms:created>
  <dcterms:modified xsi:type="dcterms:W3CDTF">2026-03-30T11:13:28.840Z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