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40" w:before="280"/>
      </w:pPr>
      <w:r>
        <w:rPr>
          <w:rFonts w:ascii="Arial" w:cs="Arial" w:eastAsia="Arial" w:hAnsi="Arial"/>
          <w:b/>
          <w:bCs/>
          <w:color w:val="1B3A6B"/>
          <w:sz w:val="28"/>
          <w:szCs w:val="28"/>
        </w:rPr>
        <w:t xml:space="preserve">SRS — Sprint 1 Estabilización · FacturaFlow</w:t>
      </w:r>
    </w:p>
    <w:p>
      <w:pPr>
        <w:pBdr>
          <w:bottom w:val="single" w:color="1B3A6B" w:sz="6" w:space="1"/>
        </w:pBdr>
        <w:spacing w:after="160"/>
      </w:pPr>
    </w:p>
    <w:p>
      <w:pPr>
        <w:spacing w:after="80"/>
      </w:pPr>
      <w:r>
        <w:rPr>
          <w:rFonts w:ascii="Arial" w:cs="Arial" w:eastAsia="Arial" w:hAnsi="Arial"/>
          <w:sz w:val="20"/>
          <w:szCs w:val="20"/>
        </w:rPr>
        <w:t xml:space="preserve">Feature: STAB-S1 · Tipo: technical-debt-sprint · Sprint: 1</w:t>
      </w:r>
    </w:p>
    <w:p>
      <w:pPr>
        <w:spacing w:after="80"/>
      </w:pPr>
      <w:r>
        <w:rPr>
          <w:rFonts w:ascii="Arial" w:cs="Arial" w:eastAsia="Arial" w:hAnsi="Arial"/>
          <w:sz w:val="20"/>
          <w:szCs w:val="20"/>
        </w:rPr>
        <w:t xml:space="preserve">Stack: .NET 8 / ASP.NET Core / EF Core 8 / SQL Server</w:t>
      </w:r>
    </w:p>
    <w:p>
      <w:pPr>
        <w:spacing w:after="80"/>
      </w:pPr>
      <w:r>
        <w:rPr>
          <w:rFonts w:ascii="Arial" w:cs="Arial" w:eastAsia="Arial" w:hAnsi="Arial"/>
          <w:sz w:val="20"/>
          <w:szCs w:val="20"/>
        </w:rPr>
        <w:t xml:space="preserve">Prioridad: CRÍTICA — bloqueante para operación segura</w:t>
      </w:r>
    </w:p>
    <w:p>
      <w:pPr>
        <w:spacing w:after="80"/>
      </w:pPr>
      <w:r>
        <w:rPr>
          <w:rFonts w:ascii="Arial" w:cs="Arial" w:eastAsia="Arial" w:hAnsi="Arial"/>
          <w:sz w:val="20"/>
          <w:szCs w:val="20"/>
        </w:rPr>
        <w:t xml:space="preserve"/>
      </w:r>
    </w:p>
    <w:p>
      <w:pPr>
        <w:pStyle w:val="Heading2"/>
        <w:spacing w:after="100" w:before="200"/>
      </w:pPr>
      <w:r>
        <w:rPr>
          <w:rFonts w:ascii="Arial" w:cs="Arial" w:eastAsia="Arial" w:hAnsi="Arial"/>
          <w:b/>
          <w:bCs/>
          <w:color w:val="1B3A6B"/>
          <w:sz w:val="24"/>
          <w:szCs w:val="24"/>
        </w:rPr>
        <w:t xml:space="preserve">1. Contexto</w:t>
      </w:r>
    </w:p>
    <w:p>
      <w:pPr>
        <w:spacing w:after="80"/>
      </w:pPr>
      <w:r>
        <w:rPr>
          <w:rFonts w:ascii="Arial" w:cs="Arial" w:eastAsia="Arial" w:hAnsi="Arial"/>
          <w:sz w:val="20"/>
          <w:szCs w:val="20"/>
        </w:rPr>
        <w:t xml:space="preserve">Sprint 1 es un sprint de estabilización técnica obligatoria derivado del análisis de takeover (Sprint 0). El sistema heredado FacturaFlow presenta vulnerabilidades de seguridad críticas que deben resolverse antes de cualquier desarrollo evolutivo. No se entregan nuevas funcionalidades de negocio.</w:t>
      </w:r>
    </w:p>
    <w:p>
      <w:pPr>
        <w:spacing w:after="80"/>
      </w:pPr>
      <w:r>
        <w:rPr>
          <w:rFonts w:ascii="Arial" w:cs="Arial" w:eastAsia="Arial" w:hAnsi="Arial"/>
          <w:sz w:val="20"/>
          <w:szCs w:val="20"/>
        </w:rPr>
        <w:t xml:space="preserve"/>
      </w:r>
    </w:p>
    <w:p>
      <w:pPr>
        <w:pStyle w:val="Heading2"/>
        <w:spacing w:after="100" w:before="200"/>
      </w:pPr>
      <w:r>
        <w:rPr>
          <w:rFonts w:ascii="Arial" w:cs="Arial" w:eastAsia="Arial" w:hAnsi="Arial"/>
          <w:b/>
          <w:bCs/>
          <w:color w:val="1B3A6B"/>
          <w:sz w:val="24"/>
          <w:szCs w:val="24"/>
        </w:rPr>
        <w:t xml:space="preserve">2. Requisitos Técnicos (RT)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00"/>
        <w:gridCol w:w="3200"/>
        <w:gridCol w:w="1000"/>
        <w:gridCol w:w="1000"/>
        <w:gridCol w:w="2160"/>
      </w:tblGrid>
      <w:tr>
        <w:tc>
          <w:tcPr>
            <w:tcW w:type="dxa" w:w="12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b/>
                <w:bCs/>
                <w:color w:val="FFFFFF"/>
                <w:sz w:val="20"/>
                <w:szCs w:val="20"/>
              </w:rPr>
              <w:t xml:space="preserve">ID</w:t>
            </w:r>
          </w:p>
        </w:tc>
        <w:tc>
          <w:tcPr>
            <w:tcW w:type="dxa" w:w="8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b/>
                <w:bCs/>
                <w:color w:val="FFFFFF"/>
                <w:sz w:val="20"/>
                <w:szCs w:val="20"/>
              </w:rPr>
              <w:t xml:space="preserve">Jira</w:t>
            </w:r>
          </w:p>
        </w:tc>
        <w:tc>
          <w:tcPr>
            <w:tcW w:type="dxa" w:w="32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b/>
                <w:bCs/>
                <w:color w:val="FFFFFF"/>
                <w:sz w:val="20"/>
                <w:szCs w:val="20"/>
              </w:rPr>
              <w:t xml:space="preserve">Descripción</w:t>
            </w:r>
          </w:p>
        </w:tc>
        <w:tc>
          <w:tcPr>
            <w:tcW w:type="dxa" w:w="10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b/>
                <w:bCs/>
                <w:color w:val="FFFFFF"/>
                <w:sz w:val="20"/>
                <w:szCs w:val="20"/>
              </w:rPr>
              <w:t xml:space="preserve">Prior.</w:t>
            </w:r>
          </w:p>
        </w:tc>
        <w:tc>
          <w:tcPr>
            <w:tcW w:type="dxa" w:w="10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b/>
                <w:bCs/>
                <w:color w:val="FFFFFF"/>
                <w:sz w:val="20"/>
                <w:szCs w:val="20"/>
              </w:rPr>
              <w:t xml:space="preserve">SP</w:t>
            </w:r>
          </w:p>
        </w:tc>
        <w:tc>
          <w:tcPr>
            <w:tcW w:type="dxa" w:w="216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b/>
                <w:bCs/>
                <w:color w:val="FFFFFF"/>
                <w:sz w:val="20"/>
                <w:szCs w:val="20"/>
              </w:rPr>
              <w:t xml:space="preserve">Semana</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b w:val="false"/>
                <w:bCs w:val="false"/>
                <w:color w:val="000000"/>
                <w:sz w:val="20"/>
                <w:szCs w:val="20"/>
              </w:rPr>
              <w:t xml:space="preserve">RT-001</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b w:val="false"/>
                <w:bCs w:val="false"/>
                <w:color w:val="000000"/>
                <w:sz w:val="20"/>
                <w:szCs w:val="20"/>
              </w:rPr>
              <w:t xml:space="preserve">FF-5</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b w:val="false"/>
                <w:bCs w:val="false"/>
                <w:color w:val="000000"/>
                <w:sz w:val="20"/>
                <w:szCs w:val="20"/>
              </w:rPr>
              <w:t xml:space="preserve">JWT secret hardcodeado</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b w:val="false"/>
                <w:bCs w:val="false"/>
                <w:color w:val="000000"/>
                <w:sz w:val="20"/>
                <w:szCs w:val="20"/>
              </w:rPr>
              <w:t xml:space="preserve">CRÍTICA</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b w:val="false"/>
                <w:bCs w:val="false"/>
                <w:color w:val="000000"/>
                <w:sz w:val="20"/>
                <w:szCs w:val="20"/>
              </w:rPr>
              <w:t xml:space="preserve">1 SP</w:t>
            </w:r>
          </w:p>
        </w:tc>
        <w:tc>
          <w:tcPr>
            <w:tcW w:type="dxa" w:w="2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b w:val="false"/>
                <w:bCs w:val="false"/>
                <w:color w:val="000000"/>
                <w:sz w:val="20"/>
                <w:szCs w:val="20"/>
              </w:rPr>
              <w:t xml:space="preserve">Semana 1</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RT-002</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FF-6</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DB password hardcodeada</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CRÍTICA</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1 SP</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Semana 1</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b w:val="false"/>
                <w:bCs w:val="false"/>
                <w:color w:val="000000"/>
                <w:sz w:val="20"/>
                <w:szCs w:val="20"/>
              </w:rPr>
              <w:t xml:space="preserve">RT-003</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b w:val="false"/>
                <w:bCs w:val="false"/>
                <w:color w:val="000000"/>
                <w:sz w:val="20"/>
                <w:szCs w:val="20"/>
              </w:rPr>
              <w:t xml:space="preserve">FF-7</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b w:val="false"/>
                <w:bCs w:val="false"/>
                <w:color w:val="000000"/>
                <w:sz w:val="20"/>
                <w:szCs w:val="20"/>
              </w:rPr>
              <w:t xml:space="preserve">CVE-2024-0057 EF Core 6→8</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b w:val="false"/>
                <w:bCs w:val="false"/>
                <w:color w:val="000000"/>
                <w:sz w:val="20"/>
                <w:szCs w:val="20"/>
              </w:rPr>
              <w:t xml:space="preserve">CRÍTICA</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b w:val="false"/>
                <w:bCs w:val="false"/>
                <w:color w:val="000000"/>
                <w:sz w:val="20"/>
                <w:szCs w:val="20"/>
              </w:rPr>
              <w:t xml:space="preserve">5 SP</w:t>
            </w:r>
          </w:p>
        </w:tc>
        <w:tc>
          <w:tcPr>
            <w:tcW w:type="dxa" w:w="2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b w:val="false"/>
                <w:bCs w:val="false"/>
                <w:color w:val="000000"/>
                <w:sz w:val="20"/>
                <w:szCs w:val="20"/>
              </w:rPr>
              <w:t xml:space="preserve">Semana 1</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RT-004</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FF-8</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CVE-2024-21319 JwtBearer 6→8</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HIGH</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1 SP</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Semana 1</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b w:val="false"/>
                <w:bCs w:val="false"/>
                <w:color w:val="000000"/>
                <w:sz w:val="20"/>
                <w:szCs w:val="20"/>
              </w:rPr>
              <w:t xml:space="preserve">RT-005</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b w:val="false"/>
                <w:bCs w:val="false"/>
                <w:color w:val="000000"/>
                <w:sz w:val="20"/>
                <w:szCs w:val="20"/>
              </w:rPr>
              <w:t xml:space="preserve">FF-9</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b w:val="false"/>
                <w:bCs w:val="false"/>
                <w:color w:val="000000"/>
                <w:sz w:val="20"/>
                <w:szCs w:val="20"/>
              </w:rPr>
              <w:t xml:space="preserve">Passwords en texto plano → BCrypt</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b w:val="false"/>
                <w:bCs w:val="false"/>
                <w:color w:val="000000"/>
                <w:sz w:val="20"/>
                <w:szCs w:val="20"/>
              </w:rPr>
              <w:t xml:space="preserve">CRÍTICA</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b w:val="false"/>
                <w:bCs w:val="false"/>
                <w:color w:val="000000"/>
                <w:sz w:val="20"/>
                <w:szCs w:val="20"/>
              </w:rPr>
              <w:t xml:space="preserve">5 SP</w:t>
            </w:r>
          </w:p>
        </w:tc>
        <w:tc>
          <w:tcPr>
            <w:tcW w:type="dxa" w:w="2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b w:val="false"/>
                <w:bCs w:val="false"/>
                <w:color w:val="000000"/>
                <w:sz w:val="20"/>
                <w:szCs w:val="20"/>
              </w:rPr>
              <w:t xml:space="preserve">Semana 1-2</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RT-006</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FF-10</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CI/CD básico GitHub Actions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HIGH</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5 SP</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Semana 2</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b w:val="false"/>
                <w:bCs w:val="false"/>
                <w:color w:val="000000"/>
                <w:sz w:val="20"/>
                <w:szCs w:val="20"/>
              </w:rPr>
              <w:t xml:space="preserve">RT-007</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b w:val="false"/>
                <w:bCs w:val="false"/>
                <w:color w:val="000000"/>
                <w:sz w:val="20"/>
                <w:szCs w:val="20"/>
              </w:rPr>
              <w:t xml:space="preserve">FF-22</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b w:val="false"/>
                <w:bCs w:val="false"/>
                <w:color w:val="000000"/>
                <w:sz w:val="20"/>
                <w:szCs w:val="20"/>
              </w:rPr>
              <w:t xml:space="preserve">Infraestructura gobernanza SOFIA</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b w:val="false"/>
                <w:bCs w:val="false"/>
                <w:color w:val="000000"/>
                <w:sz w:val="20"/>
                <w:szCs w:val="20"/>
              </w:rPr>
              <w:t xml:space="preserve">HIGH</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b w:val="false"/>
                <w:bCs w:val="false"/>
                <w:color w:val="000000"/>
                <w:sz w:val="20"/>
                <w:szCs w:val="20"/>
              </w:rPr>
              <w:t xml:space="preserve">6 SP</w:t>
            </w:r>
          </w:p>
        </w:tc>
        <w:tc>
          <w:tcPr>
            <w:tcW w:type="dxa" w:w="2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b w:val="false"/>
                <w:bCs w:val="false"/>
                <w:color w:val="000000"/>
                <w:sz w:val="20"/>
                <w:szCs w:val="20"/>
              </w:rPr>
              <w:t xml:space="preserve">Semana 1-2</w:t>
            </w:r>
          </w:p>
        </w:tc>
      </w:tr>
    </w:tbl>
    <w:p>
      <w:pPr>
        <w:spacing w:after="80"/>
      </w:pPr>
      <w:r>
        <w:rPr>
          <w:rFonts w:ascii="Arial" w:cs="Arial" w:eastAsia="Arial" w:hAnsi="Arial"/>
          <w:sz w:val="20"/>
          <w:szCs w:val="20"/>
        </w:rPr>
        <w:t xml:space="preserve"/>
      </w:r>
    </w:p>
    <w:p>
      <w:pPr>
        <w:pStyle w:val="Heading2"/>
        <w:spacing w:after="100" w:before="200"/>
      </w:pPr>
      <w:r>
        <w:rPr>
          <w:rFonts w:ascii="Arial" w:cs="Arial" w:eastAsia="Arial" w:hAnsi="Arial"/>
          <w:b/>
          <w:bCs/>
          <w:color w:val="1B3A6B"/>
          <w:sz w:val="24"/>
          <w:szCs w:val="24"/>
        </w:rPr>
        <w:t xml:space="preserve">3. RNF Baseline del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6660"/>
      </w:tblGrid>
      <w:tr>
        <w:tc>
          <w:tcPr>
            <w:tcW w:type="dxa" w:w="12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b/>
                <w:bCs/>
                <w:color w:val="FFFFFF"/>
                <w:sz w:val="20"/>
                <w:szCs w:val="20"/>
              </w:rPr>
              <w:t xml:space="preserve">ID</w:t>
            </w:r>
          </w:p>
        </w:tc>
        <w:tc>
          <w:tcPr>
            <w:tcW w:type="dxa" w:w="15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b/>
                <w:bCs/>
                <w:color w:val="FFFFFF"/>
                <w:sz w:val="20"/>
                <w:szCs w:val="20"/>
              </w:rPr>
              <w:t xml:space="preserve">Categoría</w:t>
            </w:r>
          </w:p>
        </w:tc>
        <w:tc>
          <w:tcPr>
            <w:tcW w:type="dxa" w:w="666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b/>
                <w:bCs/>
                <w:color w:val="FFFFFF"/>
                <w:sz w:val="20"/>
                <w:szCs w:val="20"/>
              </w:rPr>
              <w:t xml:space="preserve">Criterio medible</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b w:val="false"/>
                <w:bCs w:val="false"/>
                <w:color w:val="000000"/>
                <w:sz w:val="20"/>
                <w:szCs w:val="20"/>
              </w:rPr>
              <w:t xml:space="preserve">RNF-B01</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b w:val="false"/>
                <w:bCs w:val="false"/>
                <w:color w:val="000000"/>
                <w:sz w:val="20"/>
                <w:szCs w:val="20"/>
              </w:rPr>
              <w:t xml:space="preserve">Seguridad</w:t>
            </w:r>
          </w:p>
        </w:tc>
        <w:tc>
          <w:tcPr>
            <w:tcW w:type="dxa" w:w="66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b w:val="false"/>
                <w:bCs w:val="false"/>
                <w:color w:val="000000"/>
                <w:sz w:val="20"/>
                <w:szCs w:val="20"/>
              </w:rPr>
              <w:t xml:space="preserve">0 credenciales hardcodeadas en repositorio</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RNF-B02</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Seguridad</w:t>
            </w:r>
          </w:p>
        </w:tc>
        <w:tc>
          <w:tcPr>
            <w:tcW w:type="dxa" w:w="6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BCrypt cost factor ≥ 10</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b w:val="false"/>
                <w:bCs w:val="false"/>
                <w:color w:val="000000"/>
                <w:sz w:val="20"/>
                <w:szCs w:val="20"/>
              </w:rPr>
              <w:t xml:space="preserve">RNF-B03</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b w:val="false"/>
                <w:bCs w:val="false"/>
                <w:color w:val="000000"/>
                <w:sz w:val="20"/>
                <w:szCs w:val="20"/>
              </w:rPr>
              <w:t xml:space="preserve">Seguridad</w:t>
            </w:r>
          </w:p>
        </w:tc>
        <w:tc>
          <w:tcPr>
            <w:tcW w:type="dxa" w:w="66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b w:val="false"/>
                <w:bCs w:val="false"/>
                <w:color w:val="000000"/>
                <w:sz w:val="20"/>
                <w:szCs w:val="20"/>
              </w:rPr>
              <w:t xml:space="preserve">JWT secret ≥ 256 bits desde env var</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RNF-B04</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Seguridad</w:t>
            </w:r>
          </w:p>
        </w:tc>
        <w:tc>
          <w:tcPr>
            <w:tcW w:type="dxa" w:w="6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0 CVEs CVSS ≥ 7.0 en dependencias</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b w:val="false"/>
                <w:bCs w:val="false"/>
                <w:color w:val="000000"/>
                <w:sz w:val="20"/>
                <w:szCs w:val="20"/>
              </w:rPr>
              <w:t xml:space="preserve">RNF-B05</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b w:val="false"/>
                <w:bCs w:val="false"/>
                <w:color w:val="000000"/>
                <w:sz w:val="20"/>
                <w:szCs w:val="20"/>
              </w:rPr>
              <w:t xml:space="preserve">Rendimiento</w:t>
            </w:r>
          </w:p>
        </w:tc>
        <w:tc>
          <w:tcPr>
            <w:tcW w:type="dxa" w:w="66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b w:val="false"/>
                <w:bCs w:val="false"/>
                <w:color w:val="000000"/>
                <w:sz w:val="20"/>
                <w:szCs w:val="20"/>
              </w:rPr>
              <w:t xml:space="preserve">p95 &lt; 500 ms carga nominal</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RNF-B06</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Disponibilidad</w:t>
            </w:r>
          </w:p>
        </w:tc>
        <w:tc>
          <w:tcPr>
            <w:tcW w:type="dxa" w:w="6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 99.0% mensual</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b w:val="false"/>
                <w:bCs w:val="false"/>
                <w:color w:val="000000"/>
                <w:sz w:val="20"/>
                <w:szCs w:val="20"/>
              </w:rPr>
              <w:t xml:space="preserve">RNF-B07</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b w:val="false"/>
                <w:bCs w:val="false"/>
                <w:color w:val="000000"/>
                <w:sz w:val="20"/>
                <w:szCs w:val="20"/>
              </w:rPr>
              <w:t xml:space="preserve">CI</w:t>
            </w:r>
          </w:p>
        </w:tc>
        <w:tc>
          <w:tcPr>
            <w:tcW w:type="dxa" w:w="66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b w:val="false"/>
                <w:bCs w:val="false"/>
                <w:color w:val="000000"/>
                <w:sz w:val="20"/>
                <w:szCs w:val="20"/>
              </w:rPr>
              <w:t xml:space="preserve">Build continuo en push a main/develop</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RNF-B08</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Integridad</w:t>
            </w:r>
          </w:p>
        </w:tc>
        <w:tc>
          <w:tcPr>
            <w:tcW w:type="dxa" w:w="6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color w:val="000000"/>
                <w:sz w:val="20"/>
                <w:szCs w:val="20"/>
              </w:rPr>
              <w:t xml:space="preserve">Sin DELETE físico en facturas (vigente S2)</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b w:val="false"/>
                <w:bCs w:val="false"/>
                <w:color w:val="000000"/>
                <w:sz w:val="20"/>
                <w:szCs w:val="20"/>
              </w:rPr>
              <w:t xml:space="preserve">RNF-B09</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b w:val="false"/>
                <w:bCs w:val="false"/>
                <w:color w:val="000000"/>
                <w:sz w:val="20"/>
                <w:szCs w:val="20"/>
              </w:rPr>
              <w:t xml:space="preserve">Compatibilidad</w:t>
            </w:r>
          </w:p>
        </w:tc>
        <w:tc>
          <w:tcPr>
            <w:tcW w:type="dxa" w:w="66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b w:val="false"/>
                <w:bCs w:val="false"/>
                <w:color w:val="000000"/>
                <w:sz w:val="20"/>
                <w:szCs w:val="20"/>
              </w:rPr>
              <w:t xml:space="preserve">.NET 8 LTS</w:t>
            </w:r>
          </w:p>
        </w:tc>
      </w:tr>
    </w:tbl>
    <w:p>
      <w:pPr>
        <w:spacing w:after="80"/>
      </w:pPr>
      <w:r>
        <w:rPr>
          <w:rFonts w:ascii="Arial" w:cs="Arial" w:eastAsia="Arial" w:hAnsi="Arial"/>
          <w:sz w:val="20"/>
          <w:szCs w:val="20"/>
        </w:rPr>
        <w:t xml:space="preserve"/>
      </w:r>
    </w:p>
    <w:p>
      <w:pPr>
        <w:pStyle w:val="Heading2"/>
        <w:spacing w:after="100" w:before="200"/>
      </w:pPr>
      <w:r>
        <w:rPr>
          <w:rFonts w:ascii="Arial" w:cs="Arial" w:eastAsia="Arial" w:hAnsi="Arial"/>
          <w:b/>
          <w:bCs/>
          <w:color w:val="1B3A6B"/>
          <w:sz w:val="24"/>
          <w:szCs w:val="24"/>
        </w:rPr>
        <w:t xml:space="preserve">4. Alcance</w:t>
      </w:r>
    </w:p>
    <w:p>
      <w:pPr>
        <w:spacing w:after="80"/>
      </w:pPr>
      <w:r>
        <w:rPr>
          <w:rFonts w:ascii="Arial" w:cs="Arial" w:eastAsia="Arial" w:hAnsi="Arial"/>
          <w:sz w:val="20"/>
          <w:szCs w:val="20"/>
        </w:rPr>
        <w:t xml:space="preserve">INCLUIDO: Eliminación de secrets, upgrade .NET 8, migración BCrypt, CI/CD, gobernanza SOFIA.</w:t>
      </w:r>
    </w:p>
    <w:p>
      <w:pPr>
        <w:spacing w:after="80"/>
      </w:pPr>
      <w:r>
        <w:rPr>
          <w:rFonts w:ascii="Arial" w:cs="Arial" w:eastAsia="Arial" w:hAnsi="Arial"/>
          <w:sz w:val="20"/>
          <w:szCs w:val="20"/>
        </w:rPr>
        <w:t xml:space="preserve">EXCLUIDO: Nuevas funcionalidades, DELETE físico facturas, endpoints /pagar y /anular.</w:t>
      </w:r>
    </w:p>
    <w:p>
      <w:pPr>
        <w:spacing w:after="80"/>
      </w:pPr>
      <w:r>
        <w:rPr>
          <w:rFonts w:ascii="Arial" w:cs="Arial" w:eastAsia="Arial" w:hAnsi="Arial"/>
          <w:sz w:val="20"/>
          <w:szCs w:val="20"/>
        </w:rPr>
        <w:t xml:space="preserve"/>
      </w:r>
    </w:p>
    <w:p>
      <w:pPr>
        <w:pStyle w:val="Heading2"/>
        <w:spacing w:after="100" w:before="200"/>
      </w:pPr>
      <w:r>
        <w:rPr>
          <w:rFonts w:ascii="Arial" w:cs="Arial" w:eastAsia="Arial" w:hAnsi="Arial"/>
          <w:b/>
          <w:bCs/>
          <w:color w:val="1B3A6B"/>
          <w:sz w:val="24"/>
          <w:szCs w:val="24"/>
        </w:rPr>
        <w:t xml:space="preserve">5. DoD Sprint 1</w:t>
      </w:r>
    </w:p>
    <w:p>
      <w:pPr>
        <w:spacing w:after="80"/>
      </w:pPr>
      <w:r>
        <w:rPr>
          <w:rFonts w:ascii="Arial" w:cs="Arial" w:eastAsia="Arial" w:hAnsi="Arial"/>
          <w:sz w:val="20"/>
          <w:szCs w:val="20"/>
        </w:rPr>
        <w:t xml:space="preserve">• Código implementado y revisado por Code Reviewer</w:t>
      </w:r>
    </w:p>
    <w:p>
      <w:pPr>
        <w:spacing w:after="80"/>
      </w:pPr>
      <w:r>
        <w:rPr>
          <w:rFonts w:ascii="Arial" w:cs="Arial" w:eastAsia="Arial" w:hAnsi="Arial"/>
          <w:sz w:val="20"/>
          <w:szCs w:val="20"/>
        </w:rPr>
        <w:t xml:space="preserve">• Tests unitarios existentes pasando (8/8)</w:t>
      </w:r>
    </w:p>
    <w:p>
      <w:pPr>
        <w:spacing w:after="80"/>
      </w:pPr>
      <w:r>
        <w:rPr>
          <w:rFonts w:ascii="Arial" w:cs="Arial" w:eastAsia="Arial" w:hAnsi="Arial"/>
          <w:sz w:val="20"/>
          <w:szCs w:val="20"/>
        </w:rPr>
        <w:t xml:space="preserve">• Pipeline CI/CD verde</w:t>
      </w:r>
    </w:p>
    <w:p>
      <w:pPr>
        <w:spacing w:after="80"/>
      </w:pPr>
      <w:r>
        <w:rPr>
          <w:rFonts w:ascii="Arial" w:cs="Arial" w:eastAsia="Arial" w:hAnsi="Arial"/>
          <w:sz w:val="20"/>
          <w:szCs w:val="20"/>
        </w:rPr>
        <w:t xml:space="preserve">• dotnet list package --vulnerable sin CVEs ≥ 7.0</w:t>
      </w:r>
    </w:p>
    <w:p>
      <w:pPr>
        <w:spacing w:after="80"/>
      </w:pPr>
      <w:r>
        <w:rPr>
          <w:rFonts w:ascii="Arial" w:cs="Arial" w:eastAsia="Arial" w:hAnsi="Arial"/>
          <w:sz w:val="20"/>
          <w:szCs w:val="20"/>
        </w:rPr>
        <w:t xml:space="preserve">• 0 secrets hardcodeados en repositorio</w:t>
      </w:r>
    </w:p>
    <w:p>
      <w:pPr>
        <w:spacing w:after="80"/>
      </w:pPr>
      <w:r>
        <w:rPr>
          <w:rFonts w:ascii="Arial" w:cs="Arial" w:eastAsia="Arial" w:hAnsi="Arial"/>
          <w:sz w:val="20"/>
          <w:szCs w:val="20"/>
        </w:rPr>
        <w:t xml:space="preserve">• 0 contraseñas en texto plano en BD</w:t>
      </w:r>
    </w:p>
    <w:p>
      <w:pPr>
        <w:spacing w:after="80"/>
      </w:pPr>
      <w:r>
        <w:rPr>
          <w:rFonts w:ascii="Arial" w:cs="Arial" w:eastAsia="Arial" w:hAnsi="Arial"/>
          <w:sz w:val="20"/>
          <w:szCs w:val="20"/>
        </w:rPr>
        <w:t xml:space="preserve">• Semáforo de seguridad: RED → AMBER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88888"/>
        <w:sz w:val="16"/>
        <w:szCs w:val="16"/>
      </w:rPr>
      <w:t xml:space="preserve">SOFIA v2.6.25 · Experis · RetailCorp S.L. · Confidencial   </w:t>
    </w:r>
    <w:r>
      <w:rPr>
        <w:color w:val="888888"/>
        <w:sz w:val="16"/>
        <w:szCs w:val="16"/>
      </w:rPr>
      <w:t xml:space="preserve">SOFIA v2.6.25 00b7 Experis 00b7 Confidencial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b/>
        <w:bCs/>
        <w:color w:val="1B3A6B"/>
        <w:sz w:val="18"/>
        <w:szCs w:val="18"/>
      </w:rPr>
      <w:t xml:space="preserve">FacturaFlow · SRS Sprint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B3A6B"/>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1B3A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2026-04-11T11:09:24.176Z</dcterms:created>
  <dcterms:modified xsi:type="dcterms:W3CDTF">2026-04-11T11:09:24.177Z</dcterms:modified>
</cp:coreProperties>
</file>

<file path=docProps/custom.xml><?xml version="1.0" encoding="utf-8"?>
<Properties xmlns="http://schemas.openxmlformats.org/officeDocument/2006/custom-properties" xmlns:vt="http://schemas.openxmlformats.org/officeDocument/2006/docPropsVTypes"/>
</file>