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87CF" w14:textId="77777777" w:rsidR="00467477" w:rsidRPr="00467477" w:rsidRDefault="00467477" w:rsidP="0046747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467477">
        <w:rPr>
          <w:rFonts w:ascii="Times New Roman" w:eastAsia="Times New Roman" w:hAnsi="Times New Roman" w:cs="Times New Roman"/>
          <w:b/>
          <w:bCs/>
          <w:kern w:val="36"/>
          <w:sz w:val="48"/>
          <w:szCs w:val="48"/>
          <w:lang w:val="en-US"/>
        </w:rPr>
        <w:t>MA TRẬN STAKEHOLDER &amp; GIẢI QUYẾT XUNG ĐỘT BẢO MẬT HỒ SƠ EHR</w:t>
      </w:r>
    </w:p>
    <w:p w14:paraId="62930144" w14:textId="77777777" w:rsidR="00467477" w:rsidRPr="00467477" w:rsidRDefault="00467477" w:rsidP="0046747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7477">
        <w:rPr>
          <w:rFonts w:ascii="Times New Roman" w:eastAsia="Times New Roman" w:hAnsi="Times New Roman" w:cs="Times New Roman"/>
          <w:b/>
          <w:bCs/>
          <w:sz w:val="36"/>
          <w:szCs w:val="36"/>
          <w:lang w:val="en-US"/>
        </w:rPr>
        <w:t>Phần 1 – Thanh lọc danh sách &amp; Loại bỏ thực thể kỹ thuật</w:t>
      </w:r>
    </w:p>
    <w:p w14:paraId="3CA46B4A"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 xml:space="preserve">Trong danh sách ban đầu gồm 5 đối tượng, </w:t>
      </w:r>
      <w:r w:rsidRPr="00467477">
        <w:rPr>
          <w:rFonts w:ascii="Times New Roman" w:eastAsia="Times New Roman" w:hAnsi="Times New Roman" w:cs="Times New Roman"/>
          <w:b/>
          <w:bCs/>
          <w:sz w:val="24"/>
          <w:szCs w:val="24"/>
          <w:lang w:val="en-US"/>
        </w:rPr>
        <w:t>Máy chủ cơ sở dữ liệu Oracle</w:t>
      </w:r>
      <w:r w:rsidRPr="00467477">
        <w:rPr>
          <w:rFonts w:ascii="Times New Roman" w:eastAsia="Times New Roman" w:hAnsi="Times New Roman" w:cs="Times New Roman"/>
          <w:sz w:val="24"/>
          <w:szCs w:val="24"/>
          <w:lang w:val="en-US"/>
        </w:rPr>
        <w:t xml:space="preserve"> được xác định là thực thể kỹ thuật, không phải stakeholder vì không có quyền lợi, nhu cầu hoặc khả năng ra quyết định đối với dự án. Do đó, đối tượng này được loại bỏ khỏi ma trận stakeholder.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466"/>
        <w:gridCol w:w="1757"/>
        <w:gridCol w:w="815"/>
      </w:tblGrid>
      <w:tr w:rsidR="00467477" w:rsidRPr="00467477" w14:paraId="0D0CF617" w14:textId="77777777">
        <w:trPr>
          <w:tblHeader/>
          <w:tblCellSpacing w:w="15" w:type="dxa"/>
        </w:trPr>
        <w:tc>
          <w:tcPr>
            <w:tcW w:w="0" w:type="auto"/>
            <w:vAlign w:val="center"/>
            <w:hideMark/>
          </w:tcPr>
          <w:p w14:paraId="0AB4CAB5"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STT</w:t>
            </w:r>
          </w:p>
        </w:tc>
        <w:tc>
          <w:tcPr>
            <w:tcW w:w="0" w:type="auto"/>
            <w:vAlign w:val="center"/>
            <w:hideMark/>
          </w:tcPr>
          <w:p w14:paraId="54D1268B"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Đối tượng</w:t>
            </w:r>
          </w:p>
        </w:tc>
        <w:tc>
          <w:tcPr>
            <w:tcW w:w="0" w:type="auto"/>
            <w:vAlign w:val="center"/>
            <w:hideMark/>
          </w:tcPr>
          <w:p w14:paraId="76C08373"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Phân loại</w:t>
            </w:r>
          </w:p>
        </w:tc>
        <w:tc>
          <w:tcPr>
            <w:tcW w:w="0" w:type="auto"/>
            <w:vAlign w:val="center"/>
            <w:hideMark/>
          </w:tcPr>
          <w:p w14:paraId="527FD4A1"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Xử lý</w:t>
            </w:r>
          </w:p>
        </w:tc>
      </w:tr>
      <w:tr w:rsidR="00467477" w:rsidRPr="00467477" w14:paraId="12505911" w14:textId="77777777">
        <w:trPr>
          <w:tblCellSpacing w:w="15" w:type="dxa"/>
        </w:trPr>
        <w:tc>
          <w:tcPr>
            <w:tcW w:w="0" w:type="auto"/>
            <w:vAlign w:val="center"/>
            <w:hideMark/>
          </w:tcPr>
          <w:p w14:paraId="45497C6A"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1</w:t>
            </w:r>
          </w:p>
        </w:tc>
        <w:tc>
          <w:tcPr>
            <w:tcW w:w="0" w:type="auto"/>
            <w:vAlign w:val="center"/>
            <w:hideMark/>
          </w:tcPr>
          <w:p w14:paraId="2F36C0DB"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Bác sĩ điều trị trực tiếp</w:t>
            </w:r>
          </w:p>
        </w:tc>
        <w:tc>
          <w:tcPr>
            <w:tcW w:w="0" w:type="auto"/>
            <w:vAlign w:val="center"/>
            <w:hideMark/>
          </w:tcPr>
          <w:p w14:paraId="62915CEF"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Stakeholder</w:t>
            </w:r>
          </w:p>
        </w:tc>
        <w:tc>
          <w:tcPr>
            <w:tcW w:w="0" w:type="auto"/>
            <w:vAlign w:val="center"/>
            <w:hideMark/>
          </w:tcPr>
          <w:p w14:paraId="7DA732AF"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Giữ lại</w:t>
            </w:r>
          </w:p>
        </w:tc>
      </w:tr>
      <w:tr w:rsidR="00467477" w:rsidRPr="00467477" w14:paraId="4231189D" w14:textId="77777777">
        <w:trPr>
          <w:tblCellSpacing w:w="15" w:type="dxa"/>
        </w:trPr>
        <w:tc>
          <w:tcPr>
            <w:tcW w:w="0" w:type="auto"/>
            <w:vAlign w:val="center"/>
            <w:hideMark/>
          </w:tcPr>
          <w:p w14:paraId="2F758D76"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2</w:t>
            </w:r>
          </w:p>
        </w:tc>
        <w:tc>
          <w:tcPr>
            <w:tcW w:w="0" w:type="auto"/>
            <w:vAlign w:val="center"/>
            <w:hideMark/>
          </w:tcPr>
          <w:p w14:paraId="4BC0A8C1"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Máy chủ cơ sở dữ liệu Oracle</w:t>
            </w:r>
          </w:p>
        </w:tc>
        <w:tc>
          <w:tcPr>
            <w:tcW w:w="0" w:type="auto"/>
            <w:vAlign w:val="center"/>
            <w:hideMark/>
          </w:tcPr>
          <w:p w14:paraId="3916D97E"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Thực thể kỹ thuật</w:t>
            </w:r>
          </w:p>
        </w:tc>
        <w:tc>
          <w:tcPr>
            <w:tcW w:w="0" w:type="auto"/>
            <w:vAlign w:val="center"/>
            <w:hideMark/>
          </w:tcPr>
          <w:p w14:paraId="3CA28766"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Loại bỏ</w:t>
            </w:r>
          </w:p>
        </w:tc>
      </w:tr>
      <w:tr w:rsidR="00467477" w:rsidRPr="00467477" w14:paraId="3614AE6B" w14:textId="77777777">
        <w:trPr>
          <w:tblCellSpacing w:w="15" w:type="dxa"/>
        </w:trPr>
        <w:tc>
          <w:tcPr>
            <w:tcW w:w="0" w:type="auto"/>
            <w:vAlign w:val="center"/>
            <w:hideMark/>
          </w:tcPr>
          <w:p w14:paraId="708A2097"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3</w:t>
            </w:r>
          </w:p>
        </w:tc>
        <w:tc>
          <w:tcPr>
            <w:tcW w:w="0" w:type="auto"/>
            <w:vAlign w:val="center"/>
            <w:hideMark/>
          </w:tcPr>
          <w:p w14:paraId="7E112DB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Ban Giám đốc Bệnh viện RikkeiCare</w:t>
            </w:r>
          </w:p>
        </w:tc>
        <w:tc>
          <w:tcPr>
            <w:tcW w:w="0" w:type="auto"/>
            <w:vAlign w:val="center"/>
            <w:hideMark/>
          </w:tcPr>
          <w:p w14:paraId="74140F8F"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Stakeholder</w:t>
            </w:r>
          </w:p>
        </w:tc>
        <w:tc>
          <w:tcPr>
            <w:tcW w:w="0" w:type="auto"/>
            <w:vAlign w:val="center"/>
            <w:hideMark/>
          </w:tcPr>
          <w:p w14:paraId="40A5DCCE"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Giữ lại</w:t>
            </w:r>
          </w:p>
        </w:tc>
      </w:tr>
      <w:tr w:rsidR="00467477" w:rsidRPr="00467477" w14:paraId="35EB6F01" w14:textId="77777777">
        <w:trPr>
          <w:tblCellSpacing w:w="15" w:type="dxa"/>
        </w:trPr>
        <w:tc>
          <w:tcPr>
            <w:tcW w:w="0" w:type="auto"/>
            <w:vAlign w:val="center"/>
            <w:hideMark/>
          </w:tcPr>
          <w:p w14:paraId="527401B5"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4</w:t>
            </w:r>
          </w:p>
        </w:tc>
        <w:tc>
          <w:tcPr>
            <w:tcW w:w="0" w:type="auto"/>
            <w:vAlign w:val="center"/>
            <w:hideMark/>
          </w:tcPr>
          <w:p w14:paraId="4772577E"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Bệnh nhân và thân nhân người bệnh</w:t>
            </w:r>
          </w:p>
        </w:tc>
        <w:tc>
          <w:tcPr>
            <w:tcW w:w="0" w:type="auto"/>
            <w:vAlign w:val="center"/>
            <w:hideMark/>
          </w:tcPr>
          <w:p w14:paraId="08935558"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Stakeholder</w:t>
            </w:r>
          </w:p>
        </w:tc>
        <w:tc>
          <w:tcPr>
            <w:tcW w:w="0" w:type="auto"/>
            <w:vAlign w:val="center"/>
            <w:hideMark/>
          </w:tcPr>
          <w:p w14:paraId="173DB8E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Giữ lại</w:t>
            </w:r>
          </w:p>
        </w:tc>
      </w:tr>
      <w:tr w:rsidR="00467477" w:rsidRPr="00467477" w14:paraId="7D363F97" w14:textId="77777777">
        <w:trPr>
          <w:tblCellSpacing w:w="15" w:type="dxa"/>
        </w:trPr>
        <w:tc>
          <w:tcPr>
            <w:tcW w:w="0" w:type="auto"/>
            <w:vAlign w:val="center"/>
            <w:hideMark/>
          </w:tcPr>
          <w:p w14:paraId="240E413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5</w:t>
            </w:r>
          </w:p>
        </w:tc>
        <w:tc>
          <w:tcPr>
            <w:tcW w:w="0" w:type="auto"/>
            <w:vAlign w:val="center"/>
            <w:hideMark/>
          </w:tcPr>
          <w:p w14:paraId="51E8E29A"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Thanh tra Pháp chế &amp; Bảo mật Y tế (Bộ Y tế)</w:t>
            </w:r>
          </w:p>
        </w:tc>
        <w:tc>
          <w:tcPr>
            <w:tcW w:w="0" w:type="auto"/>
            <w:vAlign w:val="center"/>
            <w:hideMark/>
          </w:tcPr>
          <w:p w14:paraId="6E49FEF1"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Stakeholder</w:t>
            </w:r>
          </w:p>
        </w:tc>
        <w:tc>
          <w:tcPr>
            <w:tcW w:w="0" w:type="auto"/>
            <w:vAlign w:val="center"/>
            <w:hideMark/>
          </w:tcPr>
          <w:p w14:paraId="27C64AF4"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Giữ lại</w:t>
            </w:r>
          </w:p>
        </w:tc>
      </w:tr>
    </w:tbl>
    <w:p w14:paraId="2532729A" w14:textId="77777777" w:rsidR="00467477" w:rsidRPr="00467477" w:rsidRDefault="00467477" w:rsidP="0046747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7477">
        <w:rPr>
          <w:rFonts w:ascii="Times New Roman" w:eastAsia="Times New Roman" w:hAnsi="Times New Roman" w:cs="Times New Roman"/>
          <w:b/>
          <w:bCs/>
          <w:sz w:val="36"/>
          <w:szCs w:val="36"/>
          <w:lang w:val="en-US"/>
        </w:rPr>
        <w:t>Phần 2 – Ma trận Stakeholder 4 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244"/>
        <w:gridCol w:w="2604"/>
        <w:gridCol w:w="3534"/>
      </w:tblGrid>
      <w:tr w:rsidR="00467477" w:rsidRPr="00467477" w14:paraId="1F7C046E" w14:textId="77777777">
        <w:trPr>
          <w:tblHeader/>
          <w:tblCellSpacing w:w="15" w:type="dxa"/>
        </w:trPr>
        <w:tc>
          <w:tcPr>
            <w:tcW w:w="0" w:type="auto"/>
            <w:vAlign w:val="center"/>
            <w:hideMark/>
          </w:tcPr>
          <w:p w14:paraId="1B634368"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Nhóm chiến lược</w:t>
            </w:r>
          </w:p>
        </w:tc>
        <w:tc>
          <w:tcPr>
            <w:tcW w:w="0" w:type="auto"/>
            <w:vAlign w:val="center"/>
            <w:hideMark/>
          </w:tcPr>
          <w:p w14:paraId="4A1DAEDE"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Tiêu chí</w:t>
            </w:r>
          </w:p>
        </w:tc>
        <w:tc>
          <w:tcPr>
            <w:tcW w:w="0" w:type="auto"/>
            <w:vAlign w:val="center"/>
            <w:hideMark/>
          </w:tcPr>
          <w:p w14:paraId="6FCA5C6D"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Stakeholder</w:t>
            </w:r>
          </w:p>
        </w:tc>
        <w:tc>
          <w:tcPr>
            <w:tcW w:w="0" w:type="auto"/>
            <w:vAlign w:val="center"/>
            <w:hideMark/>
          </w:tcPr>
          <w:p w14:paraId="4148C360" w14:textId="77777777" w:rsidR="00467477" w:rsidRPr="00467477" w:rsidRDefault="00467477" w:rsidP="00467477">
            <w:pPr>
              <w:spacing w:line="240" w:lineRule="auto"/>
              <w:jc w:val="center"/>
              <w:rPr>
                <w:rFonts w:ascii="Times New Roman" w:eastAsia="Times New Roman" w:hAnsi="Times New Roman" w:cs="Times New Roman"/>
                <w:b/>
                <w:bCs/>
                <w:sz w:val="24"/>
                <w:szCs w:val="24"/>
                <w:lang w:val="en-US"/>
              </w:rPr>
            </w:pPr>
            <w:r w:rsidRPr="00467477">
              <w:rPr>
                <w:rFonts w:ascii="Times New Roman" w:eastAsia="Times New Roman" w:hAnsi="Times New Roman" w:cs="Times New Roman"/>
                <w:b/>
                <w:bCs/>
                <w:sz w:val="24"/>
                <w:szCs w:val="24"/>
                <w:lang w:val="en-US"/>
              </w:rPr>
              <w:t>Hành động tương tác chủ chốt</w:t>
            </w:r>
          </w:p>
        </w:tc>
      </w:tr>
      <w:tr w:rsidR="00467477" w:rsidRPr="00467477" w14:paraId="3BDFB266" w14:textId="77777777">
        <w:trPr>
          <w:tblCellSpacing w:w="15" w:type="dxa"/>
        </w:trPr>
        <w:tc>
          <w:tcPr>
            <w:tcW w:w="0" w:type="auto"/>
            <w:vAlign w:val="center"/>
            <w:hideMark/>
          </w:tcPr>
          <w:p w14:paraId="73C2BF88"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Quản lý chặt chẽ (Manage Closely)</w:t>
            </w:r>
          </w:p>
        </w:tc>
        <w:tc>
          <w:tcPr>
            <w:tcW w:w="0" w:type="auto"/>
            <w:vAlign w:val="center"/>
            <w:hideMark/>
          </w:tcPr>
          <w:p w14:paraId="113AC0DE"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Quyền lực Cao – Quan tâm Cao</w:t>
            </w:r>
          </w:p>
        </w:tc>
        <w:tc>
          <w:tcPr>
            <w:tcW w:w="0" w:type="auto"/>
            <w:vAlign w:val="center"/>
            <w:hideMark/>
          </w:tcPr>
          <w:p w14:paraId="1605ACE3"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Ban Giám đốc Bệnh viện RikkeiCare</w:t>
            </w:r>
          </w:p>
        </w:tc>
        <w:tc>
          <w:tcPr>
            <w:tcW w:w="0" w:type="auto"/>
            <w:vAlign w:val="center"/>
            <w:hideMark/>
          </w:tcPr>
          <w:p w14:paraId="72C648B1"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Báo cáo tiến độ trực tiếp; tham gia các quyết định lớn; phê duyệt các thay đổi quan trọng về chính sách và bảo mật EHR.</w:t>
            </w:r>
          </w:p>
        </w:tc>
      </w:tr>
      <w:tr w:rsidR="00467477" w:rsidRPr="00467477" w14:paraId="27ABACF0" w14:textId="77777777">
        <w:trPr>
          <w:tblCellSpacing w:w="15" w:type="dxa"/>
        </w:trPr>
        <w:tc>
          <w:tcPr>
            <w:tcW w:w="0" w:type="auto"/>
            <w:vAlign w:val="center"/>
            <w:hideMark/>
          </w:tcPr>
          <w:p w14:paraId="0FCBD5E3"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Giữ hài lòng (Keep Satisfied)</w:t>
            </w:r>
          </w:p>
        </w:tc>
        <w:tc>
          <w:tcPr>
            <w:tcW w:w="0" w:type="auto"/>
            <w:vAlign w:val="center"/>
            <w:hideMark/>
          </w:tcPr>
          <w:p w14:paraId="19D92F5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Quyền lực Cao – Quan tâm Thấp</w:t>
            </w:r>
          </w:p>
        </w:tc>
        <w:tc>
          <w:tcPr>
            <w:tcW w:w="0" w:type="auto"/>
            <w:vAlign w:val="center"/>
            <w:hideMark/>
          </w:tcPr>
          <w:p w14:paraId="3BFA208E"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Thanh tra Pháp chế &amp; Bảo mật Y tế (Bộ Y tế)</w:t>
            </w:r>
          </w:p>
        </w:tc>
        <w:tc>
          <w:tcPr>
            <w:tcW w:w="0" w:type="auto"/>
            <w:vAlign w:val="center"/>
            <w:hideMark/>
          </w:tcPr>
          <w:p w14:paraId="05BFBC6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Cung cấp báo cáo tuân thủ; chủ động đáp ứng các yêu cầu pháp lý và bảo mật quan trọng.</w:t>
            </w:r>
          </w:p>
        </w:tc>
      </w:tr>
      <w:tr w:rsidR="00467477" w:rsidRPr="00467477" w14:paraId="2DF919BF" w14:textId="77777777">
        <w:trPr>
          <w:tblCellSpacing w:w="15" w:type="dxa"/>
        </w:trPr>
        <w:tc>
          <w:tcPr>
            <w:tcW w:w="0" w:type="auto"/>
            <w:vAlign w:val="center"/>
            <w:hideMark/>
          </w:tcPr>
          <w:p w14:paraId="00162DC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Giữ thông tin (Keep Informed)</w:t>
            </w:r>
          </w:p>
        </w:tc>
        <w:tc>
          <w:tcPr>
            <w:tcW w:w="0" w:type="auto"/>
            <w:vAlign w:val="center"/>
            <w:hideMark/>
          </w:tcPr>
          <w:p w14:paraId="6DE72D24"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Quyền lực Thấp – Quan tâm Cao</w:t>
            </w:r>
          </w:p>
        </w:tc>
        <w:tc>
          <w:tcPr>
            <w:tcW w:w="0" w:type="auto"/>
            <w:vAlign w:val="center"/>
            <w:hideMark/>
          </w:tcPr>
          <w:p w14:paraId="58BBB5F7"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Bác sĩ điều trị trực tiếp</w:t>
            </w:r>
          </w:p>
        </w:tc>
        <w:tc>
          <w:tcPr>
            <w:tcW w:w="0" w:type="auto"/>
            <w:vAlign w:val="center"/>
            <w:hideMark/>
          </w:tcPr>
          <w:p w14:paraId="34409DF9"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Cập nhật thường xuyên về tính năng, quy trình và quyền truy cập EHR; tiếp nhận phản hồi về khả năng sử dụng trong thực tế.</w:t>
            </w:r>
          </w:p>
        </w:tc>
      </w:tr>
      <w:tr w:rsidR="00467477" w:rsidRPr="00467477" w14:paraId="282D2345" w14:textId="77777777">
        <w:trPr>
          <w:tblCellSpacing w:w="15" w:type="dxa"/>
        </w:trPr>
        <w:tc>
          <w:tcPr>
            <w:tcW w:w="0" w:type="auto"/>
            <w:vAlign w:val="center"/>
            <w:hideMark/>
          </w:tcPr>
          <w:p w14:paraId="485D8862"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Giám sát tối thiểu (Monitor)</w:t>
            </w:r>
          </w:p>
        </w:tc>
        <w:tc>
          <w:tcPr>
            <w:tcW w:w="0" w:type="auto"/>
            <w:vAlign w:val="center"/>
            <w:hideMark/>
          </w:tcPr>
          <w:p w14:paraId="4745E2D4"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Quyền lực Thấp – Quan tâm Thấp</w:t>
            </w:r>
          </w:p>
        </w:tc>
        <w:tc>
          <w:tcPr>
            <w:tcW w:w="0" w:type="auto"/>
            <w:vAlign w:val="center"/>
            <w:hideMark/>
          </w:tcPr>
          <w:p w14:paraId="5F1BC6F1"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Bệnh nhân và thân nhân người bệnh</w:t>
            </w:r>
            <w:r w:rsidRPr="00467477">
              <w:rPr>
                <w:rFonts w:ascii="Times New Roman" w:eastAsia="Times New Roman" w:hAnsi="Times New Roman" w:cs="Times New Roman"/>
                <w:sz w:val="24"/>
                <w:szCs w:val="24"/>
                <w:lang w:val="en-US"/>
              </w:rPr>
              <w:t xml:space="preserve"> </w:t>
            </w:r>
            <w:r w:rsidRPr="00467477">
              <w:rPr>
                <w:rFonts w:ascii="Times New Roman" w:eastAsia="Times New Roman" w:hAnsi="Times New Roman" w:cs="Times New Roman"/>
                <w:i/>
                <w:iCs/>
                <w:sz w:val="24"/>
                <w:szCs w:val="24"/>
                <w:lang w:val="en-US"/>
              </w:rPr>
              <w:t>(xét ở cấp độ quản trị dự án nói chung)</w:t>
            </w:r>
          </w:p>
        </w:tc>
        <w:tc>
          <w:tcPr>
            <w:tcW w:w="0" w:type="auto"/>
            <w:vAlign w:val="center"/>
            <w:hideMark/>
          </w:tcPr>
          <w:p w14:paraId="47ABE2EB" w14:textId="77777777" w:rsidR="00467477" w:rsidRPr="00467477" w:rsidRDefault="00467477" w:rsidP="00467477">
            <w:pPr>
              <w:spacing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Cung cấp thông tin định kỳ qua email/app; thông báo những thay đổi có ảnh hưởng trực tiếp đến quyền riêng tư và việc sử dụng hồ sơ.</w:t>
            </w:r>
          </w:p>
        </w:tc>
      </w:tr>
    </w:tbl>
    <w:p w14:paraId="66AED5FF"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Lưu ý:</w:t>
      </w:r>
      <w:r w:rsidRPr="00467477">
        <w:rPr>
          <w:rFonts w:ascii="Times New Roman" w:eastAsia="Times New Roman" w:hAnsi="Times New Roman" w:cs="Times New Roman"/>
          <w:sz w:val="24"/>
          <w:szCs w:val="24"/>
          <w:lang w:val="en-US"/>
        </w:rPr>
        <w:t xml:space="preserve"> Bệnh nhân thực tế vẫn là nhóm có lợi ích trực tiếp và rất cao đối với bảo mật EHR. Việc xếp vào ô “Giám sát tối thiểu” ở đây chỉ nên hiểu là </w:t>
      </w:r>
      <w:r w:rsidRPr="00467477">
        <w:rPr>
          <w:rFonts w:ascii="Times New Roman" w:eastAsia="Times New Roman" w:hAnsi="Times New Roman" w:cs="Times New Roman"/>
          <w:b/>
          <w:bCs/>
          <w:sz w:val="24"/>
          <w:szCs w:val="24"/>
          <w:lang w:val="en-US"/>
        </w:rPr>
        <w:t>ở cấp độ quản trị dự án</w:t>
      </w:r>
      <w:r w:rsidRPr="00467477">
        <w:rPr>
          <w:rFonts w:ascii="Times New Roman" w:eastAsia="Times New Roman" w:hAnsi="Times New Roman" w:cs="Times New Roman"/>
          <w:sz w:val="24"/>
          <w:szCs w:val="24"/>
          <w:lang w:val="en-US"/>
        </w:rPr>
        <w:t>, không có nghĩa là xem nhẹ quyền riêng tư hoặc quyền được biết của bệnh nhân.</w:t>
      </w:r>
    </w:p>
    <w:p w14:paraId="5C547FDC" w14:textId="77777777" w:rsidR="00467477" w:rsidRPr="00467477" w:rsidRDefault="00467477" w:rsidP="0046747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7477">
        <w:rPr>
          <w:rFonts w:ascii="Times New Roman" w:eastAsia="Times New Roman" w:hAnsi="Times New Roman" w:cs="Times New Roman"/>
          <w:b/>
          <w:bCs/>
          <w:sz w:val="36"/>
          <w:szCs w:val="36"/>
          <w:lang w:val="en-US"/>
        </w:rPr>
        <w:t>Phần 3 – Giải quyết xung đột giữa Bác sĩ và Pháp chế</w:t>
      </w:r>
    </w:p>
    <w:p w14:paraId="30BA0E2A" w14:textId="77777777" w:rsidR="00467477" w:rsidRPr="00467477" w:rsidRDefault="00467477" w:rsidP="0046747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67477">
        <w:rPr>
          <w:rFonts w:ascii="Times New Roman" w:eastAsia="Times New Roman" w:hAnsi="Times New Roman" w:cs="Times New Roman"/>
          <w:b/>
          <w:bCs/>
          <w:sz w:val="27"/>
          <w:szCs w:val="27"/>
          <w:lang w:val="en-US"/>
        </w:rPr>
        <w:lastRenderedPageBreak/>
        <w:t>Giải pháp dung hòa</w:t>
      </w:r>
    </w:p>
    <w:p w14:paraId="6CBE22AB"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Xung đột phát sinh giữa hai yêu cầu:</w:t>
      </w:r>
    </w:p>
    <w:p w14:paraId="5544E9EA" w14:textId="77777777" w:rsidR="00467477" w:rsidRPr="00467477" w:rsidRDefault="00467477" w:rsidP="0046747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Bác sĩ điều trị</w:t>
      </w:r>
      <w:r w:rsidRPr="00467477">
        <w:rPr>
          <w:rFonts w:ascii="Times New Roman" w:eastAsia="Times New Roman" w:hAnsi="Times New Roman" w:cs="Times New Roman"/>
          <w:sz w:val="24"/>
          <w:szCs w:val="24"/>
          <w:lang w:val="en-US"/>
        </w:rPr>
        <w:t xml:space="preserve"> cần được truy cập thông tin nhạy cảm kịp thời để đưa ra quyết định chính xác, đặc biệt trong tình huống cấp cứu.</w:t>
      </w:r>
    </w:p>
    <w:p w14:paraId="4FCE9025" w14:textId="77777777" w:rsidR="00467477" w:rsidRPr="00467477" w:rsidRDefault="00467477" w:rsidP="00467477">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Bộ phận Pháp chế &amp; Bảo mật</w:t>
      </w:r>
      <w:r w:rsidRPr="00467477">
        <w:rPr>
          <w:rFonts w:ascii="Times New Roman" w:eastAsia="Times New Roman" w:hAnsi="Times New Roman" w:cs="Times New Roman"/>
          <w:sz w:val="24"/>
          <w:szCs w:val="24"/>
          <w:lang w:val="en-US"/>
        </w:rPr>
        <w:t xml:space="preserve"> yêu cầu kiểm soát chặt chẽ quyền truy cập nhằm bảo vệ quyền riêng tư và tuân thủ quy định.</w:t>
      </w:r>
    </w:p>
    <w:p w14:paraId="427CC8FD"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 xml:space="preserve">Giải pháp dung hòa là áp dụng cơ chế </w:t>
      </w:r>
      <w:r w:rsidRPr="00467477">
        <w:rPr>
          <w:rFonts w:ascii="Times New Roman" w:eastAsia="Times New Roman" w:hAnsi="Times New Roman" w:cs="Times New Roman"/>
          <w:b/>
          <w:bCs/>
          <w:sz w:val="24"/>
          <w:szCs w:val="24"/>
          <w:lang w:val="en-US"/>
        </w:rPr>
        <w:t>Consent kết hợp Emergency Override</w:t>
      </w:r>
      <w:r w:rsidRPr="00467477">
        <w:rPr>
          <w:rFonts w:ascii="Times New Roman" w:eastAsia="Times New Roman" w:hAnsi="Times New Roman" w:cs="Times New Roman"/>
          <w:sz w:val="24"/>
          <w:szCs w:val="24"/>
          <w:lang w:val="en-US"/>
        </w:rPr>
        <w:t>.</w:t>
      </w:r>
    </w:p>
    <w:p w14:paraId="48375AD1" w14:textId="77777777" w:rsidR="00467477" w:rsidRPr="00467477" w:rsidRDefault="00467477" w:rsidP="0046747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67477">
        <w:rPr>
          <w:rFonts w:ascii="Times New Roman" w:eastAsia="Times New Roman" w:hAnsi="Times New Roman" w:cs="Times New Roman"/>
          <w:b/>
          <w:bCs/>
          <w:sz w:val="27"/>
          <w:szCs w:val="27"/>
          <w:lang w:val="en-US"/>
        </w:rPr>
        <w:t>Cách xử lý</w:t>
      </w:r>
    </w:p>
    <w:p w14:paraId="0EA3D3A7"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1. Trường hợp bình thường</w:t>
      </w:r>
    </w:p>
    <w:p w14:paraId="3DFB6B56"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Bệnh nhân cung cấp Consent hợp lệ bằng mã xác nhận → hệ thống cho phép bác sĩ truy cập thông tin theo đúng phạm vi quyền được cấp.</w:t>
      </w:r>
    </w:p>
    <w:p w14:paraId="71518886"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2. Trường hợp cấp cứu</w:t>
      </w:r>
    </w:p>
    <w:p w14:paraId="5FEF650E"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 xml:space="preserve">Nếu bệnh nhân đang trong tình trạng cấp cứu, hôn mê hoặc không đủ khả năng cung cấp Consent, bác sĩ được phép sử dụng chức năng </w:t>
      </w:r>
      <w:r w:rsidRPr="00467477">
        <w:rPr>
          <w:rFonts w:ascii="Times New Roman" w:eastAsia="Times New Roman" w:hAnsi="Times New Roman" w:cs="Times New Roman"/>
          <w:b/>
          <w:bCs/>
          <w:sz w:val="24"/>
          <w:szCs w:val="24"/>
          <w:lang w:val="en-US"/>
        </w:rPr>
        <w:t>Emergency Override</w:t>
      </w:r>
      <w:r w:rsidRPr="00467477">
        <w:rPr>
          <w:rFonts w:ascii="Times New Roman" w:eastAsia="Times New Roman" w:hAnsi="Times New Roman" w:cs="Times New Roman"/>
          <w:sz w:val="24"/>
          <w:szCs w:val="24"/>
          <w:lang w:val="en-US"/>
        </w:rPr>
        <w:t xml:space="preserve"> để truy cập những thông tin EHR cần thiết cho việc cấp cứu.</w:t>
      </w:r>
    </w:p>
    <w:p w14:paraId="7E04A4F8"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3. Kiểm soát sau khi Override</w:t>
      </w:r>
    </w:p>
    <w:p w14:paraId="1339CAF6"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 xml:space="preserve">Mỗi lần sử dụng Emergency Override bắt buộc phải tạo </w:t>
      </w:r>
      <w:r w:rsidRPr="00467477">
        <w:rPr>
          <w:rFonts w:ascii="Times New Roman" w:eastAsia="Times New Roman" w:hAnsi="Times New Roman" w:cs="Times New Roman"/>
          <w:b/>
          <w:bCs/>
          <w:sz w:val="24"/>
          <w:szCs w:val="24"/>
          <w:lang w:val="en-US"/>
        </w:rPr>
        <w:t>Audit Log</w:t>
      </w:r>
      <w:r w:rsidRPr="00467477">
        <w:rPr>
          <w:rFonts w:ascii="Times New Roman" w:eastAsia="Times New Roman" w:hAnsi="Times New Roman" w:cs="Times New Roman"/>
          <w:sz w:val="24"/>
          <w:szCs w:val="24"/>
          <w:lang w:val="en-US"/>
        </w:rPr>
        <w:t>, ghi nhận tối thiểu:</w:t>
      </w:r>
    </w:p>
    <w:p w14:paraId="2B2C056D" w14:textId="77777777" w:rsidR="00467477" w:rsidRPr="00467477" w:rsidRDefault="00467477" w:rsidP="0046747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Người thực hiện truy cập;</w:t>
      </w:r>
    </w:p>
    <w:p w14:paraId="52D8FA11" w14:textId="77777777" w:rsidR="00467477" w:rsidRPr="00467477" w:rsidRDefault="00467477" w:rsidP="0046747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Thời điểm truy cập;</w:t>
      </w:r>
    </w:p>
    <w:p w14:paraId="68FE455A" w14:textId="77777777" w:rsidR="00467477" w:rsidRPr="00467477" w:rsidRDefault="00467477" w:rsidP="0046747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Hồ sơ/thông tin được truy cập;</w:t>
      </w:r>
    </w:p>
    <w:p w14:paraId="7DB76C1A" w14:textId="77777777" w:rsidR="00467477" w:rsidRPr="00467477" w:rsidRDefault="00467477" w:rsidP="00467477">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Lý do sử dụng Emergency Override.</w:t>
      </w:r>
    </w:p>
    <w:p w14:paraId="00BB1C8F"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Các hoạt động này được lưu để phục vụ kiểm toán, truy vết và xác định trách nhiệm khi cần thiết.</w:t>
      </w:r>
    </w:p>
    <w:p w14:paraId="254337D9" w14:textId="77777777" w:rsidR="00467477" w:rsidRPr="00467477" w:rsidRDefault="00467477" w:rsidP="00467477">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67477">
        <w:rPr>
          <w:rFonts w:ascii="Times New Roman" w:eastAsia="Times New Roman" w:hAnsi="Times New Roman" w:cs="Times New Roman"/>
          <w:b/>
          <w:bCs/>
          <w:sz w:val="27"/>
          <w:szCs w:val="27"/>
          <w:lang w:val="en-US"/>
        </w:rPr>
        <w:t>Kết luận</w:t>
      </w:r>
    </w:p>
    <w:p w14:paraId="1EC24585"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sz w:val="24"/>
          <w:szCs w:val="24"/>
          <w:lang w:val="en-US"/>
        </w:rPr>
        <w:t xml:space="preserve">Cơ chế này tạo ra sự cân bằng giữa </w:t>
      </w:r>
      <w:r w:rsidRPr="00467477">
        <w:rPr>
          <w:rFonts w:ascii="Times New Roman" w:eastAsia="Times New Roman" w:hAnsi="Times New Roman" w:cs="Times New Roman"/>
          <w:b/>
          <w:bCs/>
          <w:sz w:val="24"/>
          <w:szCs w:val="24"/>
          <w:lang w:val="en-US"/>
        </w:rPr>
        <w:t>an toàn người bệnh và quyền riêng tư</w:t>
      </w:r>
      <w:r w:rsidRPr="00467477">
        <w:rPr>
          <w:rFonts w:ascii="Times New Roman" w:eastAsia="Times New Roman" w:hAnsi="Times New Roman" w:cs="Times New Roman"/>
          <w:sz w:val="24"/>
          <w:szCs w:val="24"/>
          <w:lang w:val="en-US"/>
        </w:rPr>
        <w:t>. Trong điều kiện bình thường, Consent là nguyên tắc bắt buộc; trong tình huống cấp cứu, Emergency Override tạo ra ngoại lệ có kiểm soát để không làm chậm quá trình điều trị. Việc bắt buộc ghi Audit Log giúp bảo đảm rằng quyền truy cập khẩn cấp vẫn có thể được kiểm tra và truy vết sau đó.</w:t>
      </w:r>
    </w:p>
    <w:p w14:paraId="1DF1BB73" w14:textId="77777777" w:rsidR="00467477" w:rsidRPr="00467477" w:rsidRDefault="00467477" w:rsidP="00467477">
      <w:pPr>
        <w:spacing w:before="100" w:beforeAutospacing="1" w:after="100" w:afterAutospacing="1" w:line="240" w:lineRule="auto"/>
        <w:rPr>
          <w:rFonts w:ascii="Times New Roman" w:eastAsia="Times New Roman" w:hAnsi="Times New Roman" w:cs="Times New Roman"/>
          <w:sz w:val="24"/>
          <w:szCs w:val="24"/>
          <w:lang w:val="en-US"/>
        </w:rPr>
      </w:pPr>
      <w:r w:rsidRPr="00467477">
        <w:rPr>
          <w:rFonts w:ascii="Times New Roman" w:eastAsia="Times New Roman" w:hAnsi="Times New Roman" w:cs="Times New Roman"/>
          <w:b/>
          <w:bCs/>
          <w:sz w:val="24"/>
          <w:szCs w:val="24"/>
          <w:lang w:val="en-US"/>
        </w:rPr>
        <w:t>Nguyên tắc tổng quát:</w:t>
      </w:r>
      <w:r w:rsidRPr="00467477">
        <w:rPr>
          <w:rFonts w:ascii="Times New Roman" w:eastAsia="Times New Roman" w:hAnsi="Times New Roman" w:cs="Times New Roman"/>
          <w:sz w:val="24"/>
          <w:szCs w:val="24"/>
          <w:lang w:val="en-US"/>
        </w:rPr>
        <w:t xml:space="preserve"> </w:t>
      </w:r>
      <w:r w:rsidRPr="00467477">
        <w:rPr>
          <w:rFonts w:ascii="Times New Roman" w:eastAsia="Times New Roman" w:hAnsi="Times New Roman" w:cs="Times New Roman"/>
          <w:i/>
          <w:iCs/>
          <w:sz w:val="24"/>
          <w:szCs w:val="24"/>
          <w:lang w:val="en-US"/>
        </w:rPr>
        <w:t>Không có Consent thì không truy cập trong điều kiện bình thường; chỉ Override khi thực sự cần thiết cho cấp cứu và mọi Override đều phải được ghi nhận, kiểm toán.</w:t>
      </w:r>
    </w:p>
    <w:p w14:paraId="022B9F18" w14:textId="77777777" w:rsidR="001E0E8F" w:rsidRPr="00467477" w:rsidRDefault="001E0E8F" w:rsidP="00467477">
      <w:pPr>
        <w:rPr>
          <w:lang w:val="en-US"/>
        </w:rPr>
      </w:pPr>
    </w:p>
    <w:sectPr w:rsidR="001E0E8F" w:rsidRPr="0046747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6B4DEDA2-8DEC-4057-A912-F7E7CCDE9C9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79C6F82-E520-4C54-899C-C53CFDDD58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ACA"/>
    <w:multiLevelType w:val="multilevel"/>
    <w:tmpl w:val="907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46CD3"/>
    <w:multiLevelType w:val="multilevel"/>
    <w:tmpl w:val="573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E7728"/>
    <w:multiLevelType w:val="multilevel"/>
    <w:tmpl w:val="166EE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2765911">
    <w:abstractNumId w:val="2"/>
  </w:num>
  <w:num w:numId="2" w16cid:durableId="518814011">
    <w:abstractNumId w:val="0"/>
  </w:num>
  <w:num w:numId="3" w16cid:durableId="750279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E8F"/>
    <w:rsid w:val="001E0E8F"/>
    <w:rsid w:val="00467477"/>
    <w:rsid w:val="00B008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A164"/>
  <w15:docId w15:val="{E35E48C5-B86B-4F41-8485-13F5FD95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Linh Pham</cp:lastModifiedBy>
  <cp:revision>2</cp:revision>
  <dcterms:created xsi:type="dcterms:W3CDTF">2026-09-13T07:32:00Z</dcterms:created>
  <dcterms:modified xsi:type="dcterms:W3CDTF">2026-09-13T07:34:00Z</dcterms:modified>
</cp:coreProperties>
</file>