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w:t>
      </w:r>
      <w:r>
        <w:lastRenderedPageBreak/>
        <w:t xml:space="preserve">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r>
      <w:r w:rsidR="005751EC">
        <w:lastRenderedPageBreak/>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bookmarkStart w:id="0" w:name="_GoBack"/>
      <w:bookmarkEnd w:id="0"/>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lastRenderedPageBreak/>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A00D9"/>
    <w:rsid w:val="007C2C1F"/>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D64B7"/>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1979</Words>
  <Characters>11876</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188</cp:revision>
  <dcterms:created xsi:type="dcterms:W3CDTF">2023-10-21T14:43:00Z</dcterms:created>
  <dcterms:modified xsi:type="dcterms:W3CDTF">2024-01-03T22:40:00Z</dcterms:modified>
</cp:coreProperties>
</file>