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Times New Roman" w:cs="Times New Roman" w:eastAsia="Times New Roman" w:hAnsi="Times New Roman"/>
          <w:b/>
          <w:bCs/>
          <w:color w:val="020617"/>
          <w:sz w:val="72"/>
          <w:szCs w:val="72"/>
        </w:rPr>
        <w:t xml:space="preserve">INVITACIONES DIGITALES</w:t>
      </w:r>
    </w:p>
    <w:p>
      <w:pPr>
        <w:spacing w:after="200"/>
        <w:jc w:val="center"/>
      </w:pPr>
      <w:r>
        <w:rPr>
          <w:rFonts w:ascii="Times New Roman" w:cs="Times New Roman" w:eastAsia="Times New Roman" w:hAnsi="Times New Roman"/>
          <w:color w:val="64748B"/>
          <w:sz w:val="36"/>
          <w:szCs w:val="36"/>
        </w:rPr>
        <w:t xml:space="preserve">Propuesta de Diseño y Arquitectura</w:t>
      </w:r>
    </w:p>
    <w:p>
      <w:pPr>
        <w:spacing w:before="400"/>
      </w:pPr>
    </w:p>
    <w:p>
      <w:pPr>
        <w:jc w:val="center"/>
      </w:pPr>
      <w:r>
        <w:rPr>
          <w:rFonts w:ascii="Calibri" w:cs="Calibri" w:eastAsia="Calibri" w:hAnsi="Calibri"/>
          <w:color w:val="1E293B"/>
          <w:sz w:val="28"/>
          <w:szCs w:val="28"/>
        </w:rPr>
        <w:t xml:space="preserve">Aplicación Móvil Multiplataforma en Flutter</w:t>
      </w:r>
    </w:p>
    <w:p>
      <w:pPr>
        <w:spacing w:before="1500"/>
      </w:pPr>
    </w:p>
    <w:p>
      <w:pPr>
        <w:jc w:val="center"/>
      </w:pPr>
      <w:r>
        <w:rPr>
          <w:rFonts w:ascii="Calibri" w:cs="Calibri" w:eastAsia="Calibri" w:hAnsi="Calibri"/>
          <w:i/>
          <w:iCs/>
          <w:color w:val="64748B"/>
          <w:sz w:val="24"/>
          <w:szCs w:val="24"/>
        </w:rPr>
        <w:t xml:space="preserve">Cumpleaños • Bodas • Aniversarios • Bautismos</w:t>
      </w:r>
    </w:p>
    <w:p>
      <w:pPr>
        <w:jc w:val="center"/>
      </w:pPr>
      <w:r>
        <w:rPr>
          <w:rFonts w:ascii="Calibri" w:cs="Calibri" w:eastAsia="Calibri" w:hAnsi="Calibri"/>
          <w:i/>
          <w:iCs/>
          <w:color w:val="64748B"/>
          <w:sz w:val="24"/>
          <w:szCs w:val="24"/>
        </w:rPr>
        <w:t xml:space="preserve">Baby Showers • Graduaciones • Eventos Corporativos</w:t>
      </w:r>
    </w:p>
    <w:p>
      <w:pPr>
        <w:spacing w:before="2000"/>
      </w:pPr>
    </w:p>
    <w:p>
      <w:pPr>
        <w:jc w:val="center"/>
      </w:pPr>
      <w:r>
        <w:rPr>
          <w:color w:val="1E293B"/>
          <w:sz w:val="22"/>
          <w:szCs w:val="22"/>
        </w:rPr>
        <w:t xml:space="preserve">Documento de Propuesta Técnica</w:t>
      </w:r>
    </w:p>
    <w:p>
      <w:pPr>
        <w:jc w:val="center"/>
      </w:pPr>
      <w:r>
        <w:rPr>
          <w:color w:val="1E293B"/>
          <w:sz w:val="22"/>
          <w:szCs w:val="22"/>
        </w:rPr>
        <w:t xml:space="preserve">3 de marzo de 2026</w:t>
      </w:r>
    </w:p>
    <w:p>
      <w:pPr>
        <w:sectPr>
          <w:pgSz w:w="11906" w:h="16838" w:orient="portrait"/>
          <w:pgMar w:top="0" w:right="0" w:bottom="0" w:left="0" w:header="708" w:footer="708" w:gutter="0"/>
          <w:pgNumType/>
          <w:docGrid w:linePitch="360"/>
        </w:sectPr>
      </w:pPr>
    </w:p>
    <w:p>
      <w:pPr>
        <w:pStyle w:val="Heading1"/>
      </w:pPr>
      <w:r>
        <w:t xml:space="preserve">Índice de Contenidos</w:t>
      </w:r>
    </w:p>
    <w:sdt>
      <w:sdtPr>
        <w:alias w:val="Tabla de Contenidos"/>
      </w:sdtPr>
      <w:sdtContent>
        <w:p>
          <w:r>
            <w:fldChar w:fldCharType="begin" w:dirty="true"/>
            <w:instrText xml:space="preserve">TOC \h \o "1-3"</w:instrText>
            <w:fldChar w:fldCharType="separate"/>
          </w:r>
        </w:p>
        <w:p>
          <w:pPr>
            <w:pStyle w:val="9"/>
            <w:tabs>
              <w:tab w:val="right" w:leader="dot" w:pos="9026"/>
            </w:tabs>
          </w:pPr>
          <w:r>
            <w:t>Índice de Contenidos</w:t>
          </w:r>
          <w:r>
            <w:tab/>
          </w:r>
          <w:r>
            <w:t>1</w:t>
          </w:r>
        </w:p>
        <w:p>
          <w:pPr>
            <w:pStyle w:val="9"/>
            <w:tabs>
              <w:tab w:val="right" w:leader="dot" w:pos="9026"/>
            </w:tabs>
          </w:pPr>
          <w:r>
            <w:t>1. Resumen Ejecutivo</w:t>
          </w:r>
          <w:r>
            <w:tab/>
          </w:r>
          <w:r>
            <w:t>2</w:t>
          </w:r>
        </w:p>
        <w:p>
          <w:pPr>
            <w:pStyle w:val="9"/>
            <w:tabs>
              <w:tab w:val="right" w:leader="dot" w:pos="9026"/>
            </w:tabs>
          </w:pPr>
          <w:r>
            <w:t>2. Análisis del Mercado</w:t>
          </w:r>
          <w:r>
            <w:tab/>
          </w:r>
          <w:r>
            <w:t>3</w:t>
          </w:r>
        </w:p>
        <w:p>
          <w:pPr>
            <w:pStyle w:val="11"/>
            <w:ind w:left="360"/>
            <w:tabs>
              <w:tab w:val="right" w:leader="dot" w:pos="9026"/>
            </w:tabs>
          </w:pPr>
          <w:r>
            <w:t>2.1 Competidores Principales</w:t>
          </w:r>
          <w:r>
            <w:tab/>
          </w:r>
          <w:r>
            <w:t>3</w:t>
          </w:r>
        </w:p>
        <w:p>
          <w:pPr>
            <w:pStyle w:val="11"/>
            <w:ind w:left="360"/>
            <w:tabs>
              <w:tab w:val="right" w:leader="dot" w:pos="9026"/>
            </w:tabs>
          </w:pPr>
          <w:r>
            <w:t>2.2 Oportunidades de Mercado</w:t>
          </w:r>
          <w:r>
            <w:tab/>
          </w:r>
          <w:r>
            <w:t>4</w:t>
          </w:r>
        </w:p>
        <w:p>
          <w:pPr>
            <w:pStyle w:val="9"/>
            <w:tabs>
              <w:tab w:val="right" w:leader="dot" w:pos="9026"/>
            </w:tabs>
          </w:pPr>
          <w:r>
            <w:t>3. Arquitectura Técnica Propuesta</w:t>
          </w:r>
          <w:r>
            <w:tab/>
          </w:r>
          <w:r>
            <w:t>5</w:t>
          </w:r>
        </w:p>
        <w:p>
          <w:pPr>
            <w:pStyle w:val="11"/>
            <w:ind w:left="360"/>
            <w:tabs>
              <w:tab w:val="right" w:leader="dot" w:pos="9026"/>
            </w:tabs>
          </w:pPr>
          <w:r>
            <w:t>3.1 Clean Architecture en Flutter</w:t>
          </w:r>
          <w:r>
            <w:tab/>
          </w:r>
          <w:r>
            <w:t>5</w:t>
          </w:r>
        </w:p>
        <w:p>
          <w:pPr>
            <w:pStyle w:val="11"/>
            <w:ind w:left="360"/>
            <w:tabs>
              <w:tab w:val="right" w:leader="dot" w:pos="9026"/>
            </w:tabs>
          </w:pPr>
          <w:r>
            <w:t>3.2 Gestión de Estado con BLoC</w:t>
          </w:r>
          <w:r>
            <w:tab/>
          </w:r>
          <w:r>
            <w:t>6</w:t>
          </w:r>
        </w:p>
        <w:p>
          <w:pPr>
            <w:pStyle w:val="11"/>
            <w:ind w:left="360"/>
            <w:tabs>
              <w:tab w:val="right" w:leader="dot" w:pos="9026"/>
            </w:tabs>
          </w:pPr>
          <w:r>
            <w:t>3.3 Estructura de Carpetas</w:t>
          </w:r>
          <w:r>
            <w:tab/>
          </w:r>
          <w:r>
            <w:t>6</w:t>
          </w:r>
        </w:p>
        <w:p>
          <w:pPr>
            <w:pStyle w:val="9"/>
            <w:tabs>
              <w:tab w:val="right" w:leader="dot" w:pos="9026"/>
            </w:tabs>
          </w:pPr>
          <w:r>
            <w:t>4. Funcionalidades por Módulos</w:t>
          </w:r>
          <w:r>
            <w:tab/>
          </w:r>
          <w:r>
            <w:t>7</w:t>
          </w:r>
        </w:p>
        <w:p>
          <w:pPr>
            <w:pStyle w:val="11"/>
            <w:ind w:left="360"/>
            <w:tabs>
              <w:tab w:val="right" w:leader="dot" w:pos="9026"/>
            </w:tabs>
          </w:pPr>
          <w:r>
            <w:t>4.1 Módulo de Autenticación</w:t>
          </w:r>
          <w:r>
            <w:tab/>
          </w:r>
          <w:r>
            <w:t>7</w:t>
          </w:r>
        </w:p>
        <w:p>
          <w:pPr>
            <w:pStyle w:val="11"/>
            <w:ind w:left="360"/>
            <w:tabs>
              <w:tab w:val="right" w:leader="dot" w:pos="9026"/>
            </w:tabs>
          </w:pPr>
          <w:r>
            <w:t>4.2 Módulo de Plantillas</w:t>
          </w:r>
          <w:r>
            <w:tab/>
          </w:r>
          <w:r>
            <w:t>7</w:t>
          </w:r>
        </w:p>
        <w:p>
          <w:pPr>
            <w:pStyle w:val="11"/>
            <w:ind w:left="360"/>
            <w:tabs>
              <w:tab w:val="right" w:leader="dot" w:pos="9026"/>
            </w:tabs>
          </w:pPr>
          <w:r>
            <w:t>4.3 Módulo de Editor</w:t>
          </w:r>
          <w:r>
            <w:tab/>
          </w:r>
          <w:r>
            <w:t>9</w:t>
          </w:r>
        </w:p>
        <w:p>
          <w:pPr>
            <w:pStyle w:val="11"/>
            <w:ind w:left="360"/>
            <w:tabs>
              <w:tab w:val="right" w:leader="dot" w:pos="9026"/>
            </w:tabs>
          </w:pPr>
          <w:r>
            <w:t>4.4 Módulo de Gestión de Eventos</w:t>
          </w:r>
          <w:r>
            <w:tab/>
          </w:r>
          <w:r>
            <w:t>9</w:t>
          </w:r>
        </w:p>
        <w:p>
          <w:pPr>
            <w:pStyle w:val="11"/>
            <w:ind w:left="360"/>
            <w:tabs>
              <w:tab w:val="right" w:leader="dot" w:pos="9026"/>
            </w:tabs>
          </w:pPr>
          <w:r>
            <w:t>4.5 Módulo de Compartir y Envío</w:t>
          </w:r>
          <w:r>
            <w:tab/>
          </w:r>
          <w:r>
            <w:t>10</w:t>
          </w:r>
        </w:p>
        <w:p>
          <w:pPr>
            <w:pStyle w:val="9"/>
            <w:tabs>
              <w:tab w:val="right" w:leader="dot" w:pos="9026"/>
            </w:tabs>
          </w:pPr>
          <w:r>
            <w:t>5. Stack Tecnológico</w:t>
          </w:r>
          <w:r>
            <w:tab/>
          </w:r>
          <w:r>
            <w:t>11</w:t>
          </w:r>
        </w:p>
        <w:p>
          <w:pPr>
            <w:pStyle w:val="9"/>
            <w:tabs>
              <w:tab w:val="right" w:leader="dot" w:pos="9026"/>
            </w:tabs>
          </w:pPr>
          <w:r>
            <w:t>6. Modelo de Monetización</w:t>
          </w:r>
          <w:r>
            <w:tab/>
          </w:r>
          <w:r>
            <w:t>12</w:t>
          </w:r>
        </w:p>
        <w:p>
          <w:pPr>
            <w:pStyle w:val="11"/>
            <w:ind w:left="360"/>
            <w:tabs>
              <w:tab w:val="right" w:leader="dot" w:pos="9026"/>
            </w:tabs>
          </w:pPr>
          <w:r>
            <w:t>6.1 Plan Gratuito</w:t>
          </w:r>
          <w:r>
            <w:tab/>
          </w:r>
          <w:r>
            <w:t>12</w:t>
          </w:r>
        </w:p>
        <w:p>
          <w:pPr>
            <w:pStyle w:val="11"/>
            <w:ind w:left="360"/>
            <w:tabs>
              <w:tab w:val="right" w:leader="dot" w:pos="9026"/>
            </w:tabs>
          </w:pPr>
          <w:r>
            <w:t>6.2 Plan Premium</w:t>
          </w:r>
          <w:r>
            <w:tab/>
          </w:r>
          <w:r>
            <w:t>13</w:t>
          </w:r>
        </w:p>
        <w:p>
          <w:pPr>
            <w:pStyle w:val="11"/>
            <w:ind w:left="360"/>
            <w:tabs>
              <w:tab w:val="right" w:leader="dot" w:pos="9026"/>
            </w:tabs>
          </w:pPr>
          <w:r>
            <w:t>6.3 Ingresos por Compras In-App</w:t>
          </w:r>
          <w:r>
            <w:tab/>
          </w:r>
          <w:r>
            <w:t>13</w:t>
          </w:r>
        </w:p>
        <w:p>
          <w:pPr>
            <w:pStyle w:val="9"/>
            <w:tabs>
              <w:tab w:val="right" w:leader="dot" w:pos="9026"/>
            </w:tabs>
          </w:pPr>
          <w:r>
            <w:t>7. Roadmap de Desarrollo</w:t>
          </w:r>
          <w:r>
            <w:tab/>
          </w:r>
          <w:r>
            <w:t>14</w:t>
          </w:r>
        </w:p>
        <w:p>
          <w:pPr>
            <w:pStyle w:val="9"/>
            <w:tabs>
              <w:tab w:val="right" w:leader="dot" w:pos="9026"/>
            </w:tabs>
          </w:pPr>
          <w:r>
            <w:t>8. Conclusiones y Recomendaciones</w:t>
          </w:r>
          <w:r>
            <w:tab/>
          </w:r>
          <w:r>
            <w:t>15</w:t>
          </w:r>
        </w:p>
        <w:p>
          <w:r>
            <w:fldChar w:fldCharType="end"/>
          </w:r>
        </w:p>
      </w:sdtContent>
    </w:sdt>
    <w:p>
      <w:pPr>
        <w:jc w:val="center"/>
      </w:pPr>
      <w:r>
        <w:rPr>
          <w:i/>
          <w:iCs/>
          <w:color w:val="999999"/>
          <w:sz w:val="18"/>
          <w:szCs w:val="18"/>
        </w:rPr>
        <w:t xml:space="preserve">Nota: Haga clic derecho en el índice y seleccione 'Actualizar campo' para ver los números de página correctos.</w:t>
      </w:r>
    </w:p>
    <w:p>
      <w:r>
        <w:br w:type="page"/>
      </w:r>
    </w:p>
    <w:p>
      <w:pPr>
        <w:pStyle w:val="Heading1"/>
      </w:pPr>
      <w:r>
        <w:t xml:space="preserve">1. Resumen Ejecutivo</w:t>
      </w:r>
    </w:p>
    <w:p>
      <w:pPr>
        <w:spacing w:after="150"/>
      </w:pPr>
      <w:r>
        <w:rPr>
          <w:rFonts w:ascii="Calibri" w:cs="Calibri" w:eastAsia="Calibri" w:hAnsi="Calibri"/>
          <w:sz w:val="22"/>
          <w:szCs w:val="22"/>
        </w:rPr>
        <w:t xml:space="preserve">Este documento presenta una propuesta integral para el desarrollo de una aplicación móvil de invitaciones digitales, diseñada específicamente para la plataforma Flutter. La aplicación permitirá a los usuarios crear, personalizar y enviar invitaciones digitales para una amplia variedad de eventos sociales y corporativos, incluyendo cumpleaños, bodas, aniversarios, bautismos, baby showers, graduaciones, eventos corporativos, y muchas más ocasiones especiales. El proyecto se fundamenta en un análisis exhaustivo del mercado actual de aplicaciones de invitaciones, identificando las fortalezas y debilidades de los competidores principales como Evite, Paperless Post, Canva y otras plataformas similares.</w:t>
      </w:r>
    </w:p>
    <w:p>
      <w:pPr>
        <w:spacing w:after="150"/>
      </w:pPr>
      <w:r>
        <w:rPr>
          <w:rFonts w:ascii="Calibri" w:cs="Calibri" w:eastAsia="Calibri" w:hAnsi="Calibri"/>
          <w:sz w:val="22"/>
          <w:szCs w:val="22"/>
        </w:rPr>
        <w:t xml:space="preserve">La arquitectura propuesta sigue los principios de Clean Architecture recomendados por el equipo de Flutter, implementando BLoC como patrón de gestión de estado y utilizando las mejores prácticas de desarrollo móvil moderno. El modelo de negocio contempla un enfoque freemium con suscripciones premium, similar al modelo exitoso de aplicaciones como Canva y Paperless Post, permitiendo a los usuarios acceder a funcionalidades básicas de manera gratuita mientras se ofrece contenido premium y características avanzadas a través de planes de suscripción mensual y anual.</w:t>
      </w:r>
    </w:p>
    <w:p>
      <w:pPr>
        <w:pStyle w:val="Heading1"/>
      </w:pPr>
      <w:r>
        <w:t xml:space="preserve">2. Análisis del Mercado</w:t>
      </w:r>
    </w:p>
    <w:p>
      <w:pPr>
        <w:pStyle w:val="Heading2"/>
      </w:pPr>
      <w:r>
        <w:t xml:space="preserve">2.1 Competidores Principales</w:t>
      </w:r>
    </w:p>
    <w:p>
      <w:pPr>
        <w:spacing w:after="150"/>
      </w:pPr>
      <w:r>
        <w:rPr>
          <w:rFonts w:ascii="Calibri" w:cs="Calibri" w:eastAsia="Calibri" w:hAnsi="Calibri"/>
          <w:sz w:val="22"/>
          <w:szCs w:val="22"/>
        </w:rPr>
        <w:t xml:space="preserve">El mercado de invitaciones digitales ha experimentado un crecimiento significativo en los últimos años, impulsado por la digitalización de las comunicaciones personales y la creciente conciencia ambiental que favorece las opciones sin papel. A continuación, se presenta un análisis detallado de los principales competidores en el mercado, evaluando sus fortalezas, debilidades y posicionamiento estratégico: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3510"/>
        <w:gridCol w:w="3510"/>
      </w:tblGrid>
      <w:tr>
        <w:trPr>
          <w:tblHeader/>
        </w:trPr>
        <w:tc>
          <w:tcPr>
            <w:tcW w:type="dxa" w:w="2340"/>
            <w:tcBorders>
              <w:top w:val="single" w:color="94A3B8" w:sz="1"/>
              <w:left w:val="single" w:color="94A3B8" w:sz="1"/>
              <w:bottom w:val="single" w:color="94A3B8" w:sz="1"/>
              <w:right w:val="single" w:color="94A3B8" w:sz="1"/>
            </w:tcBorders>
            <w:shd w:fill="F8FAFC" w:val="clear"/>
            <w:vAlign w:val="center"/>
          </w:tcPr>
          <w:p>
            <w:pPr>
              <w:jc w:val="center"/>
            </w:pPr>
            <w:r>
              <w:rPr>
                <w:b/>
                <w:bCs/>
                <w:sz w:val="22"/>
                <w:szCs w:val="22"/>
              </w:rPr>
              <w:t xml:space="preserve">Plataforma</w:t>
            </w:r>
          </w:p>
        </w:tc>
        <w:tc>
          <w:tcPr>
            <w:tcW w:type="dxa" w:w="3510"/>
            <w:tcBorders>
              <w:top w:val="single" w:color="94A3B8" w:sz="1"/>
              <w:left w:val="single" w:color="94A3B8" w:sz="1"/>
              <w:bottom w:val="single" w:color="94A3B8" w:sz="1"/>
              <w:right w:val="single" w:color="94A3B8" w:sz="1"/>
            </w:tcBorders>
            <w:shd w:fill="F8FAFC" w:val="clear"/>
            <w:vAlign w:val="center"/>
          </w:tcPr>
          <w:p>
            <w:pPr>
              <w:jc w:val="center"/>
            </w:pPr>
            <w:r>
              <w:rPr>
                <w:b/>
                <w:bCs/>
                <w:sz w:val="22"/>
                <w:szCs w:val="22"/>
              </w:rPr>
              <w:t xml:space="preserve">Fortalezas</w:t>
            </w:r>
          </w:p>
        </w:tc>
        <w:tc>
          <w:tcPr>
            <w:tcW w:type="dxa" w:w="3510"/>
            <w:tcBorders>
              <w:top w:val="single" w:color="94A3B8" w:sz="1"/>
              <w:left w:val="single" w:color="94A3B8" w:sz="1"/>
              <w:bottom w:val="single" w:color="94A3B8" w:sz="1"/>
              <w:right w:val="single" w:color="94A3B8" w:sz="1"/>
            </w:tcBorders>
            <w:shd w:fill="F8FAFC" w:val="clear"/>
            <w:vAlign w:val="center"/>
          </w:tcPr>
          <w:p>
            <w:pPr>
              <w:jc w:val="center"/>
            </w:pPr>
            <w:r>
              <w:rPr>
                <w:b/>
                <w:bCs/>
                <w:sz w:val="22"/>
                <w:szCs w:val="22"/>
              </w:rPr>
              <w:t xml:space="preserve">Debilidades</w:t>
            </w:r>
          </w:p>
        </w:tc>
      </w:tr>
      <w:tr>
        <w:tc>
          <w:tcPr>
            <w:tcW w:type="dxa" w:w="2340"/>
            <w:tcBorders>
              <w:top w:val="single" w:color="94A3B8" w:sz="1"/>
              <w:left w:val="single" w:color="94A3B8" w:sz="1"/>
              <w:bottom w:val="single" w:color="94A3B8" w:sz="1"/>
              <w:right w:val="single" w:color="94A3B8" w:sz="1"/>
            </w:tcBorders>
          </w:tcPr>
          <w:p>
            <w:pPr>
              <w:jc w:val="center"/>
            </w:pPr>
            <w:r>
              <w:rPr>
                <w:b/>
                <w:bCs/>
                <w:sz w:val="22"/>
                <w:szCs w:val="22"/>
              </w:rPr>
              <w:t xml:space="preserve">Evite</w:t>
            </w:r>
          </w:p>
        </w:tc>
        <w:tc>
          <w:tcPr>
            <w:tcW w:type="dxa" w:w="3510"/>
            <w:tcBorders>
              <w:top w:val="single" w:color="94A3B8" w:sz="1"/>
              <w:left w:val="single" w:color="94A3B8" w:sz="1"/>
              <w:bottom w:val="single" w:color="94A3B8" w:sz="1"/>
              <w:right w:val="single" w:color="94A3B8" w:sz="1"/>
            </w:tcBorders>
          </w:tcPr>
          <w:p>
            <w:r>
              <w:rPr>
                <w:sz w:val="20"/>
                <w:szCs w:val="20"/>
              </w:rPr>
              <w:t xml:space="preserve">Variedad de diseños, gestión de RSVP, envío por SMS, función de co-anfitrión</w:t>
            </w:r>
          </w:p>
        </w:tc>
        <w:tc>
          <w:tcPr>
            <w:tcW w:type="dxa" w:w="3510"/>
            <w:tcBorders>
              <w:top w:val="single" w:color="94A3B8" w:sz="1"/>
              <w:left w:val="single" w:color="94A3B8" w:sz="1"/>
              <w:bottom w:val="single" w:color="94A3B8" w:sz="1"/>
              <w:right w:val="single" w:color="94A3B8" w:sz="1"/>
            </w:tcBorders>
          </w:tcPr>
          <w:p>
            <w:r>
              <w:rPr>
                <w:sz w:val="20"/>
                <w:szCs w:val="20"/>
              </w:rPr>
              <w:t xml:space="preserve">Interfaz antigua, personalización limitada, anuncios en versión gratuita</w:t>
            </w:r>
          </w:p>
        </w:tc>
      </w:tr>
      <w:tr>
        <w:tc>
          <w:tcPr>
            <w:tcW w:type="dxa" w:w="2340"/>
            <w:tcBorders>
              <w:top w:val="single" w:color="94A3B8" w:sz="1"/>
              <w:left w:val="single" w:color="94A3B8" w:sz="1"/>
              <w:bottom w:val="single" w:color="94A3B8" w:sz="1"/>
              <w:right w:val="single" w:color="94A3B8" w:sz="1"/>
            </w:tcBorders>
          </w:tcPr>
          <w:p>
            <w:pPr>
              <w:jc w:val="center"/>
            </w:pPr>
            <w:r>
              <w:rPr>
                <w:b/>
                <w:bCs/>
                <w:sz w:val="22"/>
                <w:szCs w:val="22"/>
              </w:rPr>
              <w:t xml:space="preserve">Paperless Post</w:t>
            </w:r>
          </w:p>
        </w:tc>
        <w:tc>
          <w:tcPr>
            <w:tcW w:type="dxa" w:w="3510"/>
            <w:tcBorders>
              <w:top w:val="single" w:color="94A3B8" w:sz="1"/>
              <w:left w:val="single" w:color="94A3B8" w:sz="1"/>
              <w:bottom w:val="single" w:color="94A3B8" w:sz="1"/>
              <w:right w:val="single" w:color="94A3B8" w:sz="1"/>
            </w:tcBorders>
          </w:tcPr>
          <w:p>
            <w:r>
              <w:rPr>
                <w:sz w:val="20"/>
                <w:szCs w:val="20"/>
              </w:rPr>
              <w:t xml:space="preserve">Diseños elegantes, seguimiento de respuestas, plantillas premium de alta calidad</w:t>
            </w:r>
          </w:p>
        </w:tc>
        <w:tc>
          <w:tcPr>
            <w:tcW w:type="dxa" w:w="3510"/>
            <w:tcBorders>
              <w:top w:val="single" w:color="94A3B8" w:sz="1"/>
              <w:left w:val="single" w:color="94A3B8" w:sz="1"/>
              <w:bottom w:val="single" w:color="94A3B8" w:sz="1"/>
              <w:right w:val="single" w:color="94A3B8" w:sz="1"/>
            </w:tcBorders>
          </w:tcPr>
          <w:p>
            <w:r>
              <w:rPr>
                <w:sz w:val="20"/>
                <w:szCs w:val="20"/>
              </w:rPr>
              <w:t xml:space="preserve">Enfoque premium costoso, sin app móvil nativa completa, curva de aprendizaje</w:t>
            </w:r>
          </w:p>
        </w:tc>
      </w:tr>
      <w:tr>
        <w:tc>
          <w:tcPr>
            <w:tcW w:type="dxa" w:w="2340"/>
            <w:tcBorders>
              <w:top w:val="single" w:color="94A3B8" w:sz="1"/>
              <w:left w:val="single" w:color="94A3B8" w:sz="1"/>
              <w:bottom w:val="single" w:color="94A3B8" w:sz="1"/>
              <w:right w:val="single" w:color="94A3B8" w:sz="1"/>
            </w:tcBorders>
          </w:tcPr>
          <w:p>
            <w:pPr>
              <w:jc w:val="center"/>
            </w:pPr>
            <w:r>
              <w:rPr>
                <w:b/>
                <w:bCs/>
                <w:sz w:val="22"/>
                <w:szCs w:val="22"/>
              </w:rPr>
              <w:t xml:space="preserve">Canva</w:t>
            </w:r>
          </w:p>
        </w:tc>
        <w:tc>
          <w:tcPr>
            <w:tcW w:type="dxa" w:w="3510"/>
            <w:tcBorders>
              <w:top w:val="single" w:color="94A3B8" w:sz="1"/>
              <w:left w:val="single" w:color="94A3B8" w:sz="1"/>
              <w:bottom w:val="single" w:color="94A3B8" w:sz="1"/>
              <w:right w:val="single" w:color="94A3B8" w:sz="1"/>
            </w:tcBorders>
          </w:tcPr>
          <w:p>
            <w:r>
              <w:rPr>
                <w:sz w:val="20"/>
                <w:szCs w:val="20"/>
              </w:rPr>
              <w:t xml:space="preserve">Editor potente, variedad inmensa de plantillas, herramientas de diseño avanzadas</w:t>
            </w:r>
          </w:p>
        </w:tc>
        <w:tc>
          <w:tcPr>
            <w:tcW w:type="dxa" w:w="3510"/>
            <w:tcBorders>
              <w:top w:val="single" w:color="94A3B8" w:sz="1"/>
              <w:left w:val="single" w:color="94A3B8" w:sz="1"/>
              <w:bottom w:val="single" w:color="94A3B8" w:sz="1"/>
              <w:right w:val="single" w:color="94A3B8" w:sz="1"/>
            </w:tcBorders>
          </w:tcPr>
          <w:p>
            <w:r>
              <w:rPr>
                <w:sz w:val="20"/>
                <w:szCs w:val="20"/>
              </w:rPr>
              <w:t xml:space="preserve">No especializado en eventos, sin gestión de RSVP integrada, complejidad para usuarios básicos</w:t>
            </w:r>
          </w:p>
        </w:tc>
      </w:tr>
      <w:tr>
        <w:tc>
          <w:tcPr>
            <w:tcW w:type="dxa" w:w="2340"/>
            <w:tcBorders>
              <w:top w:val="single" w:color="94A3B8" w:sz="1"/>
              <w:left w:val="single" w:color="94A3B8" w:sz="1"/>
              <w:bottom w:val="single" w:color="94A3B8" w:sz="1"/>
              <w:right w:val="single" w:color="94A3B8" w:sz="1"/>
            </w:tcBorders>
          </w:tcPr>
          <w:p>
            <w:pPr>
              <w:jc w:val="center"/>
            </w:pPr>
            <w:r>
              <w:rPr>
                <w:b/>
                <w:bCs/>
                <w:sz w:val="22"/>
                <w:szCs w:val="22"/>
              </w:rPr>
              <w:t xml:space="preserve">Greenvelope</w:t>
            </w:r>
          </w:p>
        </w:tc>
        <w:tc>
          <w:tcPr>
            <w:tcW w:type="dxa" w:w="3510"/>
            <w:tcBorders>
              <w:top w:val="single" w:color="94A3B8" w:sz="1"/>
              <w:left w:val="single" w:color="94A3B8" w:sz="1"/>
              <w:bottom w:val="single" w:color="94A3B8" w:sz="1"/>
              <w:right w:val="single" w:color="94A3B8" w:sz="1"/>
            </w:tcBorders>
          </w:tcPr>
          <w:p>
            <w:r>
              <w:rPr>
                <w:sz w:val="20"/>
                <w:szCs w:val="20"/>
              </w:rPr>
              <w:t xml:space="preserve">Enfoque en bodas, diseño sofisticado, seguimiento de invitados avanzado</w:t>
            </w:r>
          </w:p>
        </w:tc>
        <w:tc>
          <w:tcPr>
            <w:tcW w:type="dxa" w:w="3510"/>
            <w:tcBorders>
              <w:top w:val="single" w:color="94A3B8" w:sz="1"/>
              <w:left w:val="single" w:color="94A3B8" w:sz="1"/>
              <w:bottom w:val="single" w:color="94A3B8" w:sz="1"/>
              <w:right w:val="single" w:color="94A3B8" w:sz="1"/>
            </w:tcBorders>
          </w:tcPr>
          <w:p>
            <w:r>
              <w:rPr>
                <w:sz w:val="20"/>
                <w:szCs w:val="20"/>
              </w:rPr>
              <w:t xml:space="preserve">Precio elevado, limitado a eventos formales, menor variedad de eventos</w:t>
            </w:r>
          </w:p>
        </w:tc>
      </w:tr>
    </w:tbl>
    <w:p>
      <w:pPr>
        <w:spacing w:after="200" w:before="100"/>
        <w:jc w:val="center"/>
      </w:pPr>
      <w:r>
        <w:rPr>
          <w:i/>
          <w:iCs/>
          <w:color w:val="64748B"/>
          <w:sz w:val="18"/>
          <w:szCs w:val="18"/>
        </w:rPr>
        <w:t xml:space="preserve">Tabla 1: Análisis comparativo de competidores principales</w:t>
      </w:r>
    </w:p>
    <w:p>
      <w:pPr>
        <w:pStyle w:val="Heading2"/>
      </w:pPr>
      <w:r>
        <w:t xml:space="preserve">2.2 Oportunidades de Mercado</w:t>
      </w:r>
    </w:p>
    <w:p>
      <w:pPr>
        <w:spacing w:after="150"/>
      </w:pPr>
      <w:r>
        <w:rPr>
          <w:rFonts w:ascii="Calibri" w:cs="Calibri" w:eastAsia="Calibri" w:hAnsi="Calibri"/>
          <w:sz w:val="22"/>
          <w:szCs w:val="22"/>
        </w:rPr>
        <w:t xml:space="preserve">El análisis del mercado revela varias oportunidades significativas que nuestra aplicación puede aprovechar para diferenciarse de la competencia existente. En primer lugar, existe una clara demanda de aplicaciones móviles nativas que ofrezcan una experiencia de usuario superior a las soluciones web actuales. Muchos usuarios prefieren realizar tareas de planificación de eventos directamente desde sus dispositivos móviles, y una aplicación Flutter bien diseñada puede proporcionar esa experiencia fluida y responsiva que los usuarios modernos esperan.</w:t>
      </w:r>
    </w:p>
    <w:p>
      <w:pPr>
        <w:spacing w:after="150"/>
      </w:pPr>
      <w:r>
        <w:rPr>
          <w:rFonts w:ascii="Calibri" w:cs="Calibri" w:eastAsia="Calibri" w:hAnsi="Calibri"/>
          <w:sz w:val="22"/>
          <w:szCs w:val="22"/>
        </w:rPr>
        <w:t xml:space="preserve">Adicionalmente, la tendencia hacia la sostenibilidad y la reducción del uso de papel continúa ganando momentum, con más personas buscando alternativas digitales para sus comunicaciones importantes. Esta tendencia se alinea perfectamente con nuestra propuesta de valor, ya que las invitaciones digitales eliminan completamente la necesidad de papel, tinta y transporte físico, reduciendo significativamente el impacto ambiental de los eventos sociales.</w:t>
      </w:r>
    </w:p>
    <w:p>
      <w:pPr>
        <w:pStyle w:val="Heading1"/>
      </w:pPr>
      <w:r>
        <w:t xml:space="preserve">3. Arquitectura Técnica Propuesta</w:t>
      </w:r>
    </w:p>
    <w:p>
      <w:pPr>
        <w:pStyle w:val="Heading2"/>
      </w:pPr>
      <w:r>
        <w:t xml:space="preserve">3.1 Clean Architecture en Flutter</w:t>
      </w:r>
    </w:p>
    <w:p>
      <w:pPr>
        <w:spacing w:after="150"/>
      </w:pPr>
      <w:r>
        <w:rPr>
          <w:rFonts w:ascii="Calibri" w:cs="Calibri" w:eastAsia="Calibri" w:hAnsi="Calibri"/>
          <w:sz w:val="22"/>
          <w:szCs w:val="22"/>
        </w:rPr>
        <w:t xml:space="preserve">La arquitectura propuesta sigue los principios de Clean Architecture recomendados oficialmente por el equipo de Flutter en su documentación de 2024. Este enfoque estructural garantiza la separación de responsabilidades, facilita las pruebas unitarias y de integración, y permite que la aplicación escale de manera sostenible a medida que crece en complejidad y funcionalidades. La arquitectura se organiza en tres capas principales, cada una con responsabilidades bien definidas:</w:t>
      </w:r>
    </w:p>
    <w:p>
      <w:pPr>
        <w:pStyle w:val="ListParagraph"/>
        <w:numPr>
          <w:ilvl w:val="0"/>
          <w:numId w:val="2"/>
        </w:numPr>
        <w:spacing w:after="100"/>
      </w:pPr>
      <w:r>
        <w:rPr>
          <w:b/>
          <w:bCs/>
          <w:sz w:val="22"/>
          <w:szCs w:val="22"/>
        </w:rPr>
        <w:t xml:space="preserve">Capa de Presentación (Presentation Layer): </w:t>
      </w:r>
      <w:r>
        <w:rPr>
          <w:sz w:val="22"/>
          <w:szCs w:val="22"/>
        </w:rPr>
        <w:t xml:space="preserve">Contiene toda la lógica relacionada con la interfaz de usuario, incluyendo widgets, pantallas, y la gestión del estado de la UI mediante BLoC/Cubit. Esta capa es responsable de renderizar la interfaz y manejar las interacciones del usuario, delegando la lógica de negocio a las capas inferiores.</w:t>
      </w:r>
    </w:p>
    <w:p>
      <w:pPr>
        <w:pStyle w:val="ListParagraph"/>
        <w:numPr>
          <w:ilvl w:val="0"/>
          <w:numId w:val="2"/>
        </w:numPr>
        <w:spacing w:after="100"/>
      </w:pPr>
      <w:r>
        <w:rPr>
          <w:b/>
          <w:bCs/>
          <w:sz w:val="22"/>
          <w:szCs w:val="22"/>
        </w:rPr>
        <w:t xml:space="preserve">Capa de Dominio (Domain Layer): </w:t>
      </w:r>
      <w:r>
        <w:rPr>
          <w:sz w:val="22"/>
          <w:szCs w:val="22"/>
        </w:rPr>
        <w:t xml:space="preserve">Contiene la lógica de negocio central de la aplicación, incluyendo entidades, repositorios abstractos, y casos de uso (use cases). Esta capa es completamente independiente de frameworks y detalles de implementación, lo que permite que las reglas de negocio permanezcan estables incluso cuando cambian los detalles técnicos.</w:t>
      </w:r>
    </w:p>
    <w:p>
      <w:pPr>
        <w:pStyle w:val="ListParagraph"/>
        <w:numPr>
          <w:ilvl w:val="0"/>
          <w:numId w:val="2"/>
        </w:numPr>
        <w:spacing w:after="150"/>
      </w:pPr>
      <w:r>
        <w:rPr>
          <w:b/>
          <w:bCs/>
          <w:sz w:val="22"/>
          <w:szCs w:val="22"/>
        </w:rPr>
        <w:t xml:space="preserve">Capa de Datos (Data Layer): </w:t>
      </w:r>
      <w:r>
        <w:rPr>
          <w:sz w:val="22"/>
          <w:szCs w:val="22"/>
        </w:rPr>
        <w:t xml:space="preserve">Implementa los repositorios concretos, fuentes de datos remotas y locales, y modelos de datos. Esta capa maneja la persistencia, las llamadas a APIs, y la sincronización de datos, proporcionando una abstracción limpia a la capa de dominio.</w:t>
      </w:r>
    </w:p>
    <w:p>
      <w:pPr>
        <w:pStyle w:val="Heading2"/>
      </w:pPr>
      <w:r>
        <w:t xml:space="preserve">3.2 Gestión de Estado con BLoC</w:t>
      </w:r>
    </w:p>
    <w:p>
      <w:pPr>
        <w:spacing w:after="150"/>
      </w:pPr>
      <w:r>
        <w:rPr>
          <w:rFonts w:ascii="Calibri" w:cs="Calibri" w:eastAsia="Calibri" w:hAnsi="Calibri"/>
          <w:sz w:val="22"/>
          <w:szCs w:val="22"/>
        </w:rPr>
        <w:t xml:space="preserve">El patrón BLoC (Business Logic Component) se ha seleccionado como la solución principal para la gestión de estado debido a su excelente integración con Flutter, su capacidad para separar completamente la lógica de negocio de la UI, y su soporte para testing robusto. BLoC permite manejar eventos de usuario, transformarlos en estados, y emitir esos estados a la UI de manera reactiva y predecible, lo que resulta especialmente valioso en una aplicación con múltiples flujos de usuario como la creación y envío de invitaciones.</w:t>
      </w:r>
    </w:p>
    <w:p>
      <w:pPr>
        <w:pStyle w:val="Heading2"/>
      </w:pPr>
      <w:r>
        <w:t xml:space="preserve">3.3 Estructura de Carpetas</w:t>
      </w:r>
    </w:p>
    <w:p>
      <w:pPr>
        <w:spacing w:after="100"/>
      </w:pPr>
      <w:r>
        <w:rPr>
          <w:rFonts w:ascii="Calibri" w:cs="Calibri" w:eastAsia="Calibri" w:hAnsi="Calibri"/>
          <w:sz w:val="22"/>
          <w:szCs w:val="22"/>
        </w:rPr>
        <w:t xml:space="preserve">La estructura de carpetas propuesta sigue las convenciones de Clean Architecture y facilita la navegación y mantenimiento del código:</w:t>
      </w:r>
    </w:p>
    <w:p>
      <w:pPr>
        <w:spacing w:after="150"/>
      </w:pPr>
      <w:r>
        <w:rPr>
          <w:rFonts w:ascii="Courier New" w:cs="Courier New" w:eastAsia="Courier New" w:hAnsi="Courier New"/>
          <w:sz w:val="20"/>
          <w:szCs w:val="20"/>
        </w:rPr>
        <w:t xml:space="preserve">lib/
├── core/                    # Utilidades y configuraciones globales
│   ├── constants/
│   ├── theme/
│   ├── utils/
│   └── router/
├── features/                 # Módulos por funcionalidad
│   ├── auth/
│   │   ├── data/
│   │   ├── domain/
│   │   └── presentation/
│   ├── templates/
│   │   ├── data/
│   │   ├── domain/
│   │   └── presentation/
│   ├── editor/
│   ├── events/
│   ├── guests/
│   └── settings/
├── injection_container.dart  # Inyección de dependencias
└── main.dart</w:t>
      </w:r>
    </w:p>
    <w:p>
      <w:pPr>
        <w:pStyle w:val="Heading1"/>
      </w:pPr>
      <w:r>
        <w:t xml:space="preserve">4. Funcionalidades por Módulos</w:t>
      </w:r>
    </w:p>
    <w:p>
      <w:pPr>
        <w:pStyle w:val="Heading2"/>
      </w:pPr>
      <w:r>
        <w:t xml:space="preserve">4.1 Módulo de Autenticación</w:t>
      </w:r>
    </w:p>
    <w:p>
      <w:pPr>
        <w:spacing w:after="100"/>
      </w:pPr>
      <w:r>
        <w:rPr>
          <w:rFonts w:ascii="Calibri" w:cs="Calibri" w:eastAsia="Calibri" w:hAnsi="Calibri"/>
          <w:sz w:val="22"/>
          <w:szCs w:val="22"/>
        </w:rPr>
        <w:t xml:space="preserve">El módulo de autenticación proporciona un sistema seguro y flexible para el registro e inicio de sesión de usuarios. Las funcionalidades principales incluyen:</w:t>
      </w:r>
    </w:p>
    <w:p>
      <w:pPr>
        <w:pStyle w:val="ListParagraph"/>
        <w:numPr>
          <w:ilvl w:val="0"/>
          <w:numId w:val="3"/>
        </w:numPr>
      </w:pPr>
      <w:r>
        <w:rPr>
          <w:sz w:val="22"/>
          <w:szCs w:val="22"/>
        </w:rPr>
        <w:t xml:space="preserve">Registro con email y contraseña mediante Firebase Authentication o backend propio con JWT</w:t>
      </w:r>
    </w:p>
    <w:p>
      <w:pPr>
        <w:pStyle w:val="ListParagraph"/>
        <w:numPr>
          <w:ilvl w:val="0"/>
          <w:numId w:val="3"/>
        </w:numPr>
      </w:pPr>
      <w:r>
        <w:rPr>
          <w:sz w:val="22"/>
          <w:szCs w:val="22"/>
        </w:rPr>
        <w:t xml:space="preserve">Inicio de sesión social con Google, Apple ID y Facebook para reducir fricción</w:t>
      </w:r>
    </w:p>
    <w:p>
      <w:pPr>
        <w:pStyle w:val="ListParagraph"/>
        <w:numPr>
          <w:ilvl w:val="0"/>
          <w:numId w:val="3"/>
        </w:numPr>
      </w:pPr>
      <w:r>
        <w:rPr>
          <w:sz w:val="22"/>
          <w:szCs w:val="22"/>
        </w:rPr>
        <w:t xml:space="preserve">Recuperación de contraseña mediante enlace seguro enviado por correo electrónico</w:t>
      </w:r>
    </w:p>
    <w:p>
      <w:pPr>
        <w:pStyle w:val="ListParagraph"/>
        <w:numPr>
          <w:ilvl w:val="0"/>
          <w:numId w:val="3"/>
        </w:numPr>
      </w:pPr>
      <w:r>
        <w:rPr>
          <w:sz w:val="22"/>
          <w:szCs w:val="22"/>
        </w:rPr>
        <w:t xml:space="preserve">Perfil de usuario con foto, nombre y preferencias de notificación personalizables</w:t>
      </w:r>
    </w:p>
    <w:p>
      <w:pPr>
        <w:pStyle w:val="ListParagraph"/>
        <w:numPr>
          <w:ilvl w:val="0"/>
          <w:numId w:val="3"/>
        </w:numPr>
        <w:spacing w:after="150"/>
      </w:pPr>
      <w:r>
        <w:rPr>
          <w:sz w:val="22"/>
          <w:szCs w:val="22"/>
        </w:rPr>
        <w:t xml:space="preserve">Modo invitado para explorar plantillas sin necesidad de registro previo</w:t>
      </w:r>
    </w:p>
    <w:p>
      <w:pPr>
        <w:pStyle w:val="Heading2"/>
      </w:pPr>
      <w:r>
        <w:t xml:space="preserve">4.2 Módulo de Plantillas</w:t>
      </w:r>
    </w:p>
    <w:p>
      <w:pPr>
        <w:spacing w:after="100"/>
      </w:pPr>
      <w:r>
        <w:rPr>
          <w:rFonts w:ascii="Calibri" w:cs="Calibri" w:eastAsia="Calibri" w:hAnsi="Calibri"/>
          <w:sz w:val="22"/>
          <w:szCs w:val="22"/>
        </w:rPr>
        <w:t xml:space="preserve">El módulo de plantillas constituye el corazón de la aplicación, ofreciendo una biblioteca extensa y organizada de plantillas prediseñadas para cada tipo de evento. La arquitectura de plantillas se ha diseñado para facilitar la expansión continua del catálogo y permitir una personalización profunda: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7020"/>
      </w:tblGrid>
      <w:tr>
        <w:trPr>
          <w:tblHeader/>
        </w:trPr>
        <w:tc>
          <w:tcPr>
            <w:tcW w:type="dxa" w:w="2340"/>
            <w:tcBorders>
              <w:top w:val="single" w:color="94A3B8" w:sz="1"/>
              <w:left w:val="single" w:color="94A3B8" w:sz="1"/>
              <w:bottom w:val="single" w:color="94A3B8" w:sz="1"/>
              <w:right w:val="single" w:color="94A3B8" w:sz="1"/>
            </w:tcBorders>
            <w:shd w:fill="F8FAFC" w:val="clear"/>
            <w:vAlign w:val="center"/>
          </w:tcPr>
          <w:p>
            <w:pPr>
              <w:jc w:val="center"/>
            </w:pPr>
            <w:r>
              <w:rPr>
                <w:b/>
                <w:bCs/>
                <w:sz w:val="22"/>
                <w:szCs w:val="22"/>
              </w:rPr>
              <w:t xml:space="preserve">Categoría</w:t>
            </w:r>
          </w:p>
        </w:tc>
        <w:tc>
          <w:tcPr>
            <w:tcW w:type="dxa" w:w="7020"/>
            <w:tcBorders>
              <w:top w:val="single" w:color="94A3B8" w:sz="1"/>
              <w:left w:val="single" w:color="94A3B8" w:sz="1"/>
              <w:bottom w:val="single" w:color="94A3B8" w:sz="1"/>
              <w:right w:val="single" w:color="94A3B8" w:sz="1"/>
            </w:tcBorders>
            <w:shd w:fill="F8FAFC" w:val="clear"/>
            <w:vAlign w:val="center"/>
          </w:tcPr>
          <w:p>
            <w:pPr>
              <w:jc w:val="center"/>
            </w:pPr>
            <w:r>
              <w:rPr>
                <w:b/>
                <w:bCs/>
                <w:sz w:val="22"/>
                <w:szCs w:val="22"/>
              </w:rPr>
              <w:t xml:space="preserve">Subcategorías y Ejemplos</w:t>
            </w:r>
          </w:p>
        </w:tc>
      </w:tr>
      <w:tr>
        <w:tc>
          <w:tcPr>
            <w:tcW w:type="dxa" w:w="2340"/>
            <w:tcBorders>
              <w:top w:val="single" w:color="94A3B8" w:sz="1"/>
              <w:left w:val="single" w:color="94A3B8" w:sz="1"/>
              <w:bottom w:val="single" w:color="94A3B8" w:sz="1"/>
              <w:right w:val="single" w:color="94A3B8" w:sz="1"/>
            </w:tcBorders>
          </w:tcPr>
          <w:p>
            <w:pPr>
              <w:jc w:val="center"/>
            </w:pPr>
            <w:r>
              <w:rPr>
                <w:b/>
                <w:bCs/>
                <w:sz w:val="22"/>
                <w:szCs w:val="22"/>
              </w:rPr>
              <w:t xml:space="preserve">Cumpleaños</w:t>
            </w:r>
          </w:p>
        </w:tc>
        <w:tc>
          <w:tcPr>
            <w:tcW w:type="dxa" w:w="7020"/>
            <w:tcBorders>
              <w:top w:val="single" w:color="94A3B8" w:sz="1"/>
              <w:left w:val="single" w:color="94A3B8" w:sz="1"/>
              <w:bottom w:val="single" w:color="94A3B8" w:sz="1"/>
              <w:right w:val="single" w:color="94A3B8" w:sz="1"/>
            </w:tcBorders>
          </w:tcPr>
          <w:p>
            <w:r>
              <w:rPr>
                <w:sz w:val="20"/>
                <w:szCs w:val="20"/>
              </w:rPr>
              <w:t xml:space="preserve">Infantil (personajes, animales, colores), Quinceañera, Adultos (elegante, divertido), Sorpresa, Temático</w:t>
            </w:r>
          </w:p>
        </w:tc>
      </w:tr>
      <w:tr>
        <w:tc>
          <w:tcPr>
            <w:tcW w:type="dxa" w:w="2340"/>
            <w:tcBorders>
              <w:top w:val="single" w:color="94A3B8" w:sz="1"/>
              <w:left w:val="single" w:color="94A3B8" w:sz="1"/>
              <w:bottom w:val="single" w:color="94A3B8" w:sz="1"/>
              <w:right w:val="single" w:color="94A3B8" w:sz="1"/>
            </w:tcBorders>
          </w:tcPr>
          <w:p>
            <w:pPr>
              <w:jc w:val="center"/>
            </w:pPr>
            <w:r>
              <w:rPr>
                <w:b/>
                <w:bCs/>
                <w:sz w:val="22"/>
                <w:szCs w:val="22"/>
              </w:rPr>
              <w:t xml:space="preserve">Bodas</w:t>
            </w:r>
          </w:p>
        </w:tc>
        <w:tc>
          <w:tcPr>
            <w:tcW w:type="dxa" w:w="7020"/>
            <w:tcBorders>
              <w:top w:val="single" w:color="94A3B8" w:sz="1"/>
              <w:left w:val="single" w:color="94A3B8" w:sz="1"/>
              <w:bottom w:val="single" w:color="94A3B8" w:sz="1"/>
              <w:right w:val="single" w:color="94A3B8" w:sz="1"/>
            </w:tcBorders>
          </w:tcPr>
          <w:p>
            <w:r>
              <w:rPr>
                <w:sz w:val="20"/>
                <w:szCs w:val="20"/>
              </w:rPr>
              <w:t xml:space="preserve">Save the Date, Invitación formal, Invitación informal, Tarjeta de agradecimiento, Tarjeta de mesa</w:t>
            </w:r>
          </w:p>
        </w:tc>
      </w:tr>
      <w:tr>
        <w:tc>
          <w:tcPr>
            <w:tcW w:type="dxa" w:w="2340"/>
            <w:tcBorders>
              <w:top w:val="single" w:color="94A3B8" w:sz="1"/>
              <w:left w:val="single" w:color="94A3B8" w:sz="1"/>
              <w:bottom w:val="single" w:color="94A3B8" w:sz="1"/>
              <w:right w:val="single" w:color="94A3B8" w:sz="1"/>
            </w:tcBorders>
          </w:tcPr>
          <w:p>
            <w:pPr>
              <w:jc w:val="center"/>
            </w:pPr>
            <w:r>
              <w:rPr>
                <w:b/>
                <w:bCs/>
                <w:sz w:val="22"/>
                <w:szCs w:val="22"/>
              </w:rPr>
              <w:t xml:space="preserve">Baby Shower</w:t>
            </w:r>
          </w:p>
        </w:tc>
        <w:tc>
          <w:tcPr>
            <w:tcW w:type="dxa" w:w="7020"/>
            <w:tcBorders>
              <w:top w:val="single" w:color="94A3B8" w:sz="1"/>
              <w:left w:val="single" w:color="94A3B8" w:sz="1"/>
              <w:bottom w:val="single" w:color="94A3B8" w:sz="1"/>
              <w:right w:val="single" w:color="94A3B8" w:sz="1"/>
            </w:tcBorders>
          </w:tcPr>
          <w:p>
            <w:r>
              <w:rPr>
                <w:sz w:val="20"/>
                <w:szCs w:val="20"/>
              </w:rPr>
              <w:t xml:space="preserve">Niño, Niña, Gender Reveal, Neutral, Gemelos, Ternura animal</w:t>
            </w:r>
          </w:p>
        </w:tc>
      </w:tr>
      <w:tr>
        <w:tc>
          <w:tcPr>
            <w:tcW w:type="dxa" w:w="2340"/>
            <w:tcBorders>
              <w:top w:val="single" w:color="94A3B8" w:sz="1"/>
              <w:left w:val="single" w:color="94A3B8" w:sz="1"/>
              <w:bottom w:val="single" w:color="94A3B8" w:sz="1"/>
              <w:right w:val="single" w:color="94A3B8" w:sz="1"/>
            </w:tcBorders>
          </w:tcPr>
          <w:p>
            <w:pPr>
              <w:jc w:val="center"/>
            </w:pPr>
            <w:r>
              <w:rPr>
                <w:b/>
                <w:bCs/>
                <w:sz w:val="22"/>
                <w:szCs w:val="22"/>
              </w:rPr>
              <w:t xml:space="preserve">Religiosos</w:t>
            </w:r>
          </w:p>
        </w:tc>
        <w:tc>
          <w:tcPr>
            <w:tcW w:type="dxa" w:w="7020"/>
            <w:tcBorders>
              <w:top w:val="single" w:color="94A3B8" w:sz="1"/>
              <w:left w:val="single" w:color="94A3B8" w:sz="1"/>
              <w:bottom w:val="single" w:color="94A3B8" w:sz="1"/>
              <w:right w:val="single" w:color="94A3B8" w:sz="1"/>
            </w:tcBorders>
          </w:tcPr>
          <w:p>
            <w:r>
              <w:rPr>
                <w:sz w:val="20"/>
                <w:szCs w:val="20"/>
              </w:rPr>
              <w:t xml:space="preserve">Bautismo, Primera Comunión, Confirmación, Boda religiosa, Misa memorial</w:t>
            </w:r>
          </w:p>
        </w:tc>
      </w:tr>
      <w:tr>
        <w:tc>
          <w:tcPr>
            <w:tcW w:type="dxa" w:w="2340"/>
            <w:tcBorders>
              <w:top w:val="single" w:color="94A3B8" w:sz="1"/>
              <w:left w:val="single" w:color="94A3B8" w:sz="1"/>
              <w:bottom w:val="single" w:color="94A3B8" w:sz="1"/>
              <w:right w:val="single" w:color="94A3B8" w:sz="1"/>
            </w:tcBorders>
          </w:tcPr>
          <w:p>
            <w:pPr>
              <w:jc w:val="center"/>
            </w:pPr>
            <w:r>
              <w:rPr>
                <w:b/>
                <w:bCs/>
                <w:sz w:val="22"/>
                <w:szCs w:val="22"/>
              </w:rPr>
              <w:t xml:space="preserve">Corporativos</w:t>
            </w:r>
          </w:p>
        </w:tc>
        <w:tc>
          <w:tcPr>
            <w:tcW w:type="dxa" w:w="7020"/>
            <w:tcBorders>
              <w:top w:val="single" w:color="94A3B8" w:sz="1"/>
              <w:left w:val="single" w:color="94A3B8" w:sz="1"/>
              <w:bottom w:val="single" w:color="94A3B8" w:sz="1"/>
              <w:right w:val="single" w:color="94A3B8" w:sz="1"/>
            </w:tcBorders>
          </w:tcPr>
          <w:p>
            <w:r>
              <w:rPr>
                <w:sz w:val="20"/>
                <w:szCs w:val="20"/>
              </w:rPr>
              <w:t xml:space="preserve">Lanzamiento de producto, Conferencia, Seminario, Cena de gala, Reunión anual, Workshop</w:t>
            </w:r>
          </w:p>
        </w:tc>
      </w:tr>
      <w:tr>
        <w:tc>
          <w:tcPr>
            <w:tcW w:type="dxa" w:w="2340"/>
            <w:tcBorders>
              <w:top w:val="single" w:color="94A3B8" w:sz="1"/>
              <w:left w:val="single" w:color="94A3B8" w:sz="1"/>
              <w:bottom w:val="single" w:color="94A3B8" w:sz="1"/>
              <w:right w:val="single" w:color="94A3B8" w:sz="1"/>
            </w:tcBorders>
          </w:tcPr>
          <w:p>
            <w:pPr>
              <w:jc w:val="center"/>
            </w:pPr>
            <w:r>
              <w:rPr>
                <w:b/>
                <w:bCs/>
                <w:sz w:val="22"/>
                <w:szCs w:val="22"/>
              </w:rPr>
              <w:t xml:space="preserve">Otros</w:t>
            </w:r>
          </w:p>
        </w:tc>
        <w:tc>
          <w:tcPr>
            <w:tcW w:type="dxa" w:w="7020"/>
            <w:tcBorders>
              <w:top w:val="single" w:color="94A3B8" w:sz="1"/>
              <w:left w:val="single" w:color="94A3B8" w:sz="1"/>
              <w:bottom w:val="single" w:color="94A3B8" w:sz="1"/>
              <w:right w:val="single" w:color="94A3B8" w:sz="1"/>
            </w:tcBorders>
          </w:tcPr>
          <w:p>
            <w:r>
              <w:rPr>
                <w:sz w:val="20"/>
                <w:szCs w:val="20"/>
              </w:rPr>
              <w:t xml:space="preserve">Graduación, Aniversario, Despedida de soltera/o, Fiesta de Navidad, Halloween, Año Nuevo</w:t>
            </w:r>
          </w:p>
        </w:tc>
      </w:tr>
    </w:tbl>
    <w:p>
      <w:pPr>
        <w:spacing w:after="200" w:before="100"/>
        <w:jc w:val="center"/>
      </w:pPr>
      <w:r>
        <w:rPr>
          <w:i/>
          <w:iCs/>
          <w:color w:val="64748B"/>
          <w:sz w:val="18"/>
          <w:szCs w:val="18"/>
        </w:rPr>
        <w:t xml:space="preserve">Tabla 2: Categorías de eventos y plantillas disponibles</w:t>
      </w:r>
    </w:p>
    <w:p>
      <w:pPr>
        <w:pStyle w:val="Heading2"/>
      </w:pPr>
      <w:r>
        <w:t xml:space="preserve">4.3 Módulo de Editor</w:t>
      </w:r>
    </w:p>
    <w:p>
      <w:pPr>
        <w:spacing w:after="100"/>
      </w:pPr>
      <w:r>
        <w:rPr>
          <w:rFonts w:ascii="Calibri" w:cs="Calibri" w:eastAsia="Calibri" w:hAnsi="Calibri"/>
          <w:sz w:val="22"/>
          <w:szCs w:val="22"/>
        </w:rPr>
        <w:t xml:space="preserve">El editor de invitaciones representa uno de los componentes más complejos y valiosos de la aplicación. Se ha diseñado para ser intuitivo para usuarios principiantes mientras ofrece herramientas avanzadas para usuarios con experiencia en diseño. Las capacidades del editor incluyen:</w:t>
      </w:r>
    </w:p>
    <w:p>
      <w:pPr>
        <w:pStyle w:val="ListParagraph"/>
        <w:numPr>
          <w:ilvl w:val="0"/>
          <w:numId w:val="3"/>
        </w:numPr>
      </w:pPr>
      <w:r>
        <w:rPr>
          <w:sz w:val="22"/>
          <w:szCs w:val="22"/>
        </w:rPr>
        <w:t xml:space="preserve">Editor WYSIWYG (What You See Is What You Get) con previsualización en tiempo real de la invitación</w:t>
      </w:r>
    </w:p>
    <w:p>
      <w:pPr>
        <w:pStyle w:val="ListParagraph"/>
        <w:numPr>
          <w:ilvl w:val="0"/>
          <w:numId w:val="3"/>
        </w:numPr>
      </w:pPr>
      <w:r>
        <w:rPr>
          <w:sz w:val="22"/>
          <w:szCs w:val="22"/>
        </w:rPr>
        <w:t xml:space="preserve">Personalización de texto con múltiples fuentes, tamaños, colores y efectos (sombra, contorno)</w:t>
      </w:r>
    </w:p>
    <w:p>
      <w:pPr>
        <w:pStyle w:val="ListParagraph"/>
        <w:numPr>
          <w:ilvl w:val="0"/>
          <w:numId w:val="3"/>
        </w:numPr>
      </w:pPr>
      <w:r>
        <w:rPr>
          <w:sz w:val="22"/>
          <w:szCs w:val="22"/>
        </w:rPr>
        <w:t xml:space="preserve">Subida de imágenes propias con herramientas de recorte, filtros y ajustes de brillo/contraste</w:t>
      </w:r>
    </w:p>
    <w:p>
      <w:pPr>
        <w:pStyle w:val="ListParagraph"/>
        <w:numPr>
          <w:ilvl w:val="0"/>
          <w:numId w:val="3"/>
        </w:numPr>
      </w:pPr>
      <w:r>
        <w:rPr>
          <w:sz w:val="22"/>
          <w:szCs w:val="22"/>
        </w:rPr>
        <w:t xml:space="preserve">Biblioteca de elementos gráficos: iconos, ilustraciones, marcos, bordes decorativos</w:t>
      </w:r>
    </w:p>
    <w:p>
      <w:pPr>
        <w:pStyle w:val="ListParagraph"/>
        <w:numPr>
          <w:ilvl w:val="0"/>
          <w:numId w:val="3"/>
        </w:numPr>
      </w:pPr>
      <w:r>
        <w:rPr>
          <w:sz w:val="22"/>
          <w:szCs w:val="22"/>
        </w:rPr>
        <w:t xml:space="preserve">Paletas de colores predefinidas y herramienta para crear paletas personalizadas</w:t>
      </w:r>
    </w:p>
    <w:p>
      <w:pPr>
        <w:pStyle w:val="ListParagraph"/>
        <w:numPr>
          <w:ilvl w:val="0"/>
          <w:numId w:val="3"/>
        </w:numPr>
      </w:pPr>
      <w:r>
        <w:rPr>
          <w:sz w:val="22"/>
          <w:szCs w:val="22"/>
        </w:rPr>
        <w:t xml:space="preserve">Capas para organizar elementos con controles de orden, visibilidad y bloqueo</w:t>
      </w:r>
    </w:p>
    <w:p>
      <w:pPr>
        <w:pStyle w:val="ListParagraph"/>
        <w:numPr>
          <w:ilvl w:val="0"/>
          <w:numId w:val="3"/>
        </w:numPr>
        <w:spacing w:after="150"/>
      </w:pPr>
      <w:r>
        <w:rPr>
          <w:sz w:val="22"/>
          <w:szCs w:val="22"/>
        </w:rPr>
        <w:t xml:space="preserve">Función de deshacer/rehacer con historial completo de cambios realizados</w:t>
      </w:r>
    </w:p>
    <w:p>
      <w:pPr>
        <w:pStyle w:val="Heading2"/>
      </w:pPr>
      <w:r>
        <w:t xml:space="preserve">4.4 Módulo de Gestión de Eventos</w:t>
      </w:r>
    </w:p>
    <w:p>
      <w:pPr>
        <w:spacing w:after="100"/>
      </w:pPr>
      <w:r>
        <w:rPr>
          <w:rFonts w:ascii="Calibri" w:cs="Calibri" w:eastAsia="Calibri" w:hAnsi="Calibri"/>
          <w:sz w:val="22"/>
          <w:szCs w:val="22"/>
        </w:rPr>
        <w:t xml:space="preserve">Este módulo permite a los usuarios crear y administrar sus eventos, gestionar listas de invitados, y dar seguimiento a las respuestas. La funcionalidad de RSVP integrada es una de las diferenciadores clave frente a competidores como Canva, que no ofrece esta capacidad:</w:t>
      </w:r>
    </w:p>
    <w:p>
      <w:pPr>
        <w:pStyle w:val="ListParagraph"/>
        <w:numPr>
          <w:ilvl w:val="0"/>
          <w:numId w:val="3"/>
        </w:numPr>
      </w:pPr>
      <w:r>
        <w:rPr>
          <w:sz w:val="22"/>
          <w:szCs w:val="22"/>
        </w:rPr>
        <w:t xml:space="preserve">Creación de eventos con información completa: fecha, hora, ubicación con mapa interactivo</w:t>
      </w:r>
    </w:p>
    <w:p>
      <w:pPr>
        <w:pStyle w:val="ListParagraph"/>
        <w:numPr>
          <w:ilvl w:val="0"/>
          <w:numId w:val="3"/>
        </w:numPr>
      </w:pPr>
      <w:r>
        <w:rPr>
          <w:sz w:val="22"/>
          <w:szCs w:val="22"/>
        </w:rPr>
        <w:t xml:space="preserve">Importación de contactos desde el dispositivo, Google Contacts y listas CSV</w:t>
      </w:r>
    </w:p>
    <w:p>
      <w:pPr>
        <w:pStyle w:val="ListParagraph"/>
        <w:numPr>
          <w:ilvl w:val="0"/>
          <w:numId w:val="3"/>
        </w:numPr>
      </w:pPr>
      <w:r>
        <w:rPr>
          <w:sz w:val="22"/>
          <w:szCs w:val="22"/>
        </w:rPr>
        <w:t xml:space="preserve">Gestión de RSVP con estados: confirmado, pendiente, rechazado, tal vez</w:t>
      </w:r>
    </w:p>
    <w:p>
      <w:pPr>
        <w:pStyle w:val="ListParagraph"/>
        <w:numPr>
          <w:ilvl w:val="0"/>
          <w:numId w:val="3"/>
        </w:numPr>
      </w:pPr>
      <w:r>
        <w:rPr>
          <w:sz w:val="22"/>
          <w:szCs w:val="22"/>
        </w:rPr>
        <w:t xml:space="preserve">Envío de recordatorios automáticos configurables antes del evento</w:t>
      </w:r>
    </w:p>
    <w:p>
      <w:pPr>
        <w:pStyle w:val="ListParagraph"/>
        <w:numPr>
          <w:ilvl w:val="0"/>
          <w:numId w:val="3"/>
        </w:numPr>
        <w:spacing w:after="150"/>
      </w:pPr>
      <w:r>
        <w:rPr>
          <w:sz w:val="22"/>
          <w:szCs w:val="22"/>
        </w:rPr>
        <w:t xml:space="preserve">Panel de estadísticas en tiempo real sobre respuestas y participación</w:t>
      </w:r>
    </w:p>
    <w:p>
      <w:pPr>
        <w:pStyle w:val="Heading2"/>
      </w:pPr>
      <w:r>
        <w:t xml:space="preserve">4.5 Módulo de Compartir y Envío</w:t>
      </w:r>
    </w:p>
    <w:p>
      <w:pPr>
        <w:spacing w:after="100"/>
      </w:pPr>
      <w:r>
        <w:rPr>
          <w:rFonts w:ascii="Calibri" w:cs="Calibri" w:eastAsia="Calibri" w:hAnsi="Calibri"/>
          <w:sz w:val="22"/>
          <w:szCs w:val="22"/>
        </w:rPr>
        <w:t xml:space="preserve">El módulo de distribución permite compartir las invitaciones a través de múltiples canales, maximizando el alcance y asegurando que los invitados reciban la información de la manera que prefieran:</w:t>
      </w:r>
    </w:p>
    <w:p>
      <w:pPr>
        <w:pStyle w:val="ListParagraph"/>
        <w:numPr>
          <w:ilvl w:val="0"/>
          <w:numId w:val="3"/>
        </w:numPr>
      </w:pPr>
      <w:r>
        <w:rPr>
          <w:sz w:val="22"/>
          <w:szCs w:val="22"/>
        </w:rPr>
        <w:t xml:space="preserve">Compartir mediante enlace único con código QR descargable e imprimible</w:t>
      </w:r>
    </w:p>
    <w:p>
      <w:pPr>
        <w:pStyle w:val="ListParagraph"/>
        <w:numPr>
          <w:ilvl w:val="0"/>
          <w:numId w:val="3"/>
        </w:numPr>
      </w:pPr>
      <w:r>
        <w:rPr>
          <w:sz w:val="22"/>
          <w:szCs w:val="22"/>
        </w:rPr>
        <w:t xml:space="preserve">Envío directo por WhatsApp, SMS, correo electrónico, Telegram y redes sociales</w:t>
      </w:r>
    </w:p>
    <w:p>
      <w:pPr>
        <w:pStyle w:val="ListParagraph"/>
        <w:numPr>
          <w:ilvl w:val="0"/>
          <w:numId w:val="3"/>
        </w:numPr>
      </w:pPr>
      <w:r>
        <w:rPr>
          <w:sz w:val="22"/>
          <w:szCs w:val="22"/>
        </w:rPr>
        <w:t xml:space="preserve">Exportación en múltiples formatos: PNG de alta resolución, PDF para imprimir, MP4 para invitaciones animadas</w:t>
      </w:r>
    </w:p>
    <w:p>
      <w:pPr>
        <w:pStyle w:val="ListParagraph"/>
        <w:numPr>
          <w:ilvl w:val="0"/>
          <w:numId w:val="3"/>
        </w:numPr>
      </w:pPr>
      <w:r>
        <w:rPr>
          <w:sz w:val="22"/>
          <w:szCs w:val="22"/>
        </w:rPr>
        <w:t xml:space="preserve">Invitaciones animadas con transiciones, música de fondo y efectos visuales</w:t>
      </w:r>
    </w:p>
    <w:p>
      <w:pPr>
        <w:pStyle w:val="ListParagraph"/>
        <w:numPr>
          <w:ilvl w:val="0"/>
          <w:numId w:val="3"/>
        </w:numPr>
        <w:spacing w:after="150"/>
      </w:pPr>
      <w:r>
        <w:rPr>
          <w:sz w:val="22"/>
          <w:szCs w:val="22"/>
        </w:rPr>
        <w:t xml:space="preserve">Página web pública del evento con mapa, galería de fotos y sección de comentarios</w:t>
      </w:r>
    </w:p>
    <w:p>
      <w:pPr>
        <w:pStyle w:val="Heading1"/>
      </w:pPr>
      <w:r>
        <w:t xml:space="preserve">5. Stack Tecnológico</w:t>
      </w:r>
    </w:p>
    <w:p>
      <w:pPr>
        <w:spacing w:after="100"/>
      </w:pPr>
      <w:r>
        <w:rPr>
          <w:rFonts w:ascii="Calibri" w:cs="Calibri" w:eastAsia="Calibri" w:hAnsi="Calibri"/>
          <w:sz w:val="22"/>
          <w:szCs w:val="22"/>
        </w:rPr>
        <w:t xml:space="preserve">La selección de tecnologías se ha realizado considerando la escalabilidad, mantenibilidad, rendimiento y la disponibilidad de desarrolladores en el mercado. El stack propuesto representa el estado del arte en desarrollo móvil multiplataforma para 2024-2025:</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3510"/>
        <w:gridCol w:w="3510"/>
      </w:tblGrid>
      <w:tr>
        <w:trPr>
          <w:tblHeader/>
        </w:trPr>
        <w:tc>
          <w:tcPr>
            <w:tcW w:type="dxa" w:w="2340"/>
            <w:tcBorders>
              <w:top w:val="single" w:color="94A3B8" w:sz="1"/>
              <w:left w:val="single" w:color="94A3B8" w:sz="1"/>
              <w:bottom w:val="single" w:color="94A3B8" w:sz="1"/>
              <w:right w:val="single" w:color="94A3B8" w:sz="1"/>
            </w:tcBorders>
            <w:shd w:fill="F8FAFC" w:val="clear"/>
            <w:vAlign w:val="center"/>
          </w:tcPr>
          <w:p>
            <w:pPr>
              <w:jc w:val="center"/>
            </w:pPr>
            <w:r>
              <w:rPr>
                <w:b/>
                <w:bCs/>
                <w:sz w:val="22"/>
                <w:szCs w:val="22"/>
              </w:rPr>
              <w:t xml:space="preserve">Categoría</w:t>
            </w:r>
          </w:p>
        </w:tc>
        <w:tc>
          <w:tcPr>
            <w:tcW w:type="dxa" w:w="3510"/>
            <w:tcBorders>
              <w:top w:val="single" w:color="94A3B8" w:sz="1"/>
              <w:left w:val="single" w:color="94A3B8" w:sz="1"/>
              <w:bottom w:val="single" w:color="94A3B8" w:sz="1"/>
              <w:right w:val="single" w:color="94A3B8" w:sz="1"/>
            </w:tcBorders>
            <w:shd w:fill="F8FAFC" w:val="clear"/>
            <w:vAlign w:val="center"/>
          </w:tcPr>
          <w:p>
            <w:pPr>
              <w:jc w:val="center"/>
            </w:pPr>
            <w:r>
              <w:rPr>
                <w:b/>
                <w:bCs/>
                <w:sz w:val="22"/>
                <w:szCs w:val="22"/>
              </w:rPr>
              <w:t xml:space="preserve">Tecnología</w:t>
            </w:r>
          </w:p>
        </w:tc>
        <w:tc>
          <w:tcPr>
            <w:tcW w:type="dxa" w:w="3510"/>
            <w:tcBorders>
              <w:top w:val="single" w:color="94A3B8" w:sz="1"/>
              <w:left w:val="single" w:color="94A3B8" w:sz="1"/>
              <w:bottom w:val="single" w:color="94A3B8" w:sz="1"/>
              <w:right w:val="single" w:color="94A3B8" w:sz="1"/>
            </w:tcBorders>
            <w:shd w:fill="F8FAFC" w:val="clear"/>
            <w:vAlign w:val="center"/>
          </w:tcPr>
          <w:p>
            <w:pPr>
              <w:jc w:val="center"/>
            </w:pPr>
            <w:r>
              <w:rPr>
                <w:b/>
                <w:bCs/>
                <w:sz w:val="22"/>
                <w:szCs w:val="22"/>
              </w:rPr>
              <w:t xml:space="preserve">Justificación</w:t>
            </w:r>
          </w:p>
        </w:tc>
      </w:tr>
      <w:tr>
        <w:tc>
          <w:tcPr>
            <w:tcW w:type="dxa" w:w="2340"/>
            <w:tcBorders>
              <w:top w:val="single" w:color="94A3B8" w:sz="1"/>
              <w:left w:val="single" w:color="94A3B8" w:sz="1"/>
              <w:bottom w:val="single" w:color="94A3B8" w:sz="1"/>
              <w:right w:val="single" w:color="94A3B8" w:sz="1"/>
            </w:tcBorders>
          </w:tcPr>
          <w:p>
            <w:pPr>
              <w:jc w:val="center"/>
            </w:pPr>
            <w:r>
              <w:rPr>
                <w:b/>
                <w:bCs/>
                <w:sz w:val="22"/>
                <w:szCs w:val="22"/>
              </w:rPr>
              <w:t xml:space="preserve">Framework</w:t>
            </w:r>
          </w:p>
        </w:tc>
        <w:tc>
          <w:tcPr>
            <w:tcW w:type="dxa" w:w="3510"/>
            <w:tcBorders>
              <w:top w:val="single" w:color="94A3B8" w:sz="1"/>
              <w:left w:val="single" w:color="94A3B8" w:sz="1"/>
              <w:bottom w:val="single" w:color="94A3B8" w:sz="1"/>
              <w:right w:val="single" w:color="94A3B8" w:sz="1"/>
            </w:tcBorders>
          </w:tcPr>
          <w:p>
            <w:pPr>
              <w:jc w:val="center"/>
            </w:pPr>
            <w:r>
              <w:rPr>
                <w:sz w:val="22"/>
                <w:szCs w:val="22"/>
              </w:rPr>
              <w:t xml:space="preserve">Flutter 3.24+</w:t>
            </w:r>
          </w:p>
        </w:tc>
        <w:tc>
          <w:tcPr>
            <w:tcW w:type="dxa" w:w="3510"/>
            <w:tcBorders>
              <w:top w:val="single" w:color="94A3B8" w:sz="1"/>
              <w:left w:val="single" w:color="94A3B8" w:sz="1"/>
              <w:bottom w:val="single" w:color="94A3B8" w:sz="1"/>
              <w:right w:val="single" w:color="94A3B8" w:sz="1"/>
            </w:tcBorders>
          </w:tcPr>
          <w:p>
            <w:r>
              <w:rPr>
                <w:sz w:val="20"/>
                <w:szCs w:val="20"/>
              </w:rPr>
              <w:t xml:space="preserve">Multiplataforma nativo, rendimiento excelente, UI consistente</w:t>
            </w:r>
          </w:p>
        </w:tc>
      </w:tr>
      <w:tr>
        <w:tc>
          <w:tcPr>
            <w:tcW w:type="dxa" w:w="2340"/>
            <w:tcBorders>
              <w:top w:val="single" w:color="94A3B8" w:sz="1"/>
              <w:left w:val="single" w:color="94A3B8" w:sz="1"/>
              <w:bottom w:val="single" w:color="94A3B8" w:sz="1"/>
              <w:right w:val="single" w:color="94A3B8" w:sz="1"/>
            </w:tcBorders>
          </w:tcPr>
          <w:p>
            <w:pPr>
              <w:jc w:val="center"/>
            </w:pPr>
            <w:r>
              <w:rPr>
                <w:b/>
                <w:bCs/>
                <w:sz w:val="22"/>
                <w:szCs w:val="22"/>
              </w:rPr>
              <w:t xml:space="preserve">Lenguaje</w:t>
            </w:r>
          </w:p>
        </w:tc>
        <w:tc>
          <w:tcPr>
            <w:tcW w:type="dxa" w:w="3510"/>
            <w:tcBorders>
              <w:top w:val="single" w:color="94A3B8" w:sz="1"/>
              <w:left w:val="single" w:color="94A3B8" w:sz="1"/>
              <w:bottom w:val="single" w:color="94A3B8" w:sz="1"/>
              <w:right w:val="single" w:color="94A3B8" w:sz="1"/>
            </w:tcBorders>
          </w:tcPr>
          <w:p>
            <w:pPr>
              <w:jc w:val="center"/>
            </w:pPr>
            <w:r>
              <w:rPr>
                <w:sz w:val="22"/>
                <w:szCs w:val="22"/>
              </w:rPr>
              <w:t xml:space="preserve">Dart 3.5+</w:t>
            </w:r>
          </w:p>
        </w:tc>
        <w:tc>
          <w:tcPr>
            <w:tcW w:type="dxa" w:w="3510"/>
            <w:tcBorders>
              <w:top w:val="single" w:color="94A3B8" w:sz="1"/>
              <w:left w:val="single" w:color="94A3B8" w:sz="1"/>
              <w:bottom w:val="single" w:color="94A3B8" w:sz="1"/>
              <w:right w:val="single" w:color="94A3B8" w:sz="1"/>
            </w:tcBorders>
          </w:tcPr>
          <w:p>
            <w:r>
              <w:rPr>
                <w:sz w:val="20"/>
                <w:szCs w:val="20"/>
              </w:rPr>
              <w:t xml:space="preserve">Null safety, productivo, tipado fuerte, async/await nativo</w:t>
            </w:r>
          </w:p>
        </w:tc>
      </w:tr>
      <w:tr>
        <w:tc>
          <w:tcPr>
            <w:tcW w:type="dxa" w:w="2340"/>
            <w:tcBorders>
              <w:top w:val="single" w:color="94A3B8" w:sz="1"/>
              <w:left w:val="single" w:color="94A3B8" w:sz="1"/>
              <w:bottom w:val="single" w:color="94A3B8" w:sz="1"/>
              <w:right w:val="single" w:color="94A3B8" w:sz="1"/>
            </w:tcBorders>
          </w:tcPr>
          <w:p>
            <w:pPr>
              <w:jc w:val="center"/>
            </w:pPr>
            <w:r>
              <w:rPr>
                <w:b/>
                <w:bCs/>
                <w:sz w:val="22"/>
                <w:szCs w:val="22"/>
              </w:rPr>
              <w:t xml:space="preserve">Estado</w:t>
            </w:r>
          </w:p>
        </w:tc>
        <w:tc>
          <w:tcPr>
            <w:tcW w:type="dxa" w:w="3510"/>
            <w:tcBorders>
              <w:top w:val="single" w:color="94A3B8" w:sz="1"/>
              <w:left w:val="single" w:color="94A3B8" w:sz="1"/>
              <w:bottom w:val="single" w:color="94A3B8" w:sz="1"/>
              <w:right w:val="single" w:color="94A3B8" w:sz="1"/>
            </w:tcBorders>
          </w:tcPr>
          <w:p>
            <w:pPr>
              <w:jc w:val="center"/>
            </w:pPr>
            <w:r>
              <w:rPr>
                <w:sz w:val="22"/>
                <w:szCs w:val="22"/>
              </w:rPr>
              <w:t xml:space="preserve">flutter_bloc + hydrated_bloc</w:t>
            </w:r>
          </w:p>
        </w:tc>
        <w:tc>
          <w:tcPr>
            <w:tcW w:type="dxa" w:w="3510"/>
            <w:tcBorders>
              <w:top w:val="single" w:color="94A3B8" w:sz="1"/>
              <w:left w:val="single" w:color="94A3B8" w:sz="1"/>
              <w:bottom w:val="single" w:color="94A3B8" w:sz="1"/>
              <w:right w:val="single" w:color="94A3B8" w:sz="1"/>
            </w:tcBorders>
          </w:tcPr>
          <w:p>
            <w:r>
              <w:rPr>
                <w:sz w:val="20"/>
                <w:szCs w:val="20"/>
              </w:rPr>
              <w:t xml:space="preserve">Separación de responsabilidades, testability, persistencia</w:t>
            </w:r>
          </w:p>
        </w:tc>
      </w:tr>
      <w:tr>
        <w:tc>
          <w:tcPr>
            <w:tcW w:type="dxa" w:w="2340"/>
            <w:tcBorders>
              <w:top w:val="single" w:color="94A3B8" w:sz="1"/>
              <w:left w:val="single" w:color="94A3B8" w:sz="1"/>
              <w:bottom w:val="single" w:color="94A3B8" w:sz="1"/>
              <w:right w:val="single" w:color="94A3B8" w:sz="1"/>
            </w:tcBorders>
          </w:tcPr>
          <w:p>
            <w:pPr>
              <w:jc w:val="center"/>
            </w:pPr>
            <w:r>
              <w:rPr>
                <w:b/>
                <w:bCs/>
                <w:sz w:val="22"/>
                <w:szCs w:val="22"/>
              </w:rPr>
              <w:t xml:space="preserve">Backend</w:t>
            </w:r>
          </w:p>
        </w:tc>
        <w:tc>
          <w:tcPr>
            <w:tcW w:type="dxa" w:w="3510"/>
            <w:tcBorders>
              <w:top w:val="single" w:color="94A3B8" w:sz="1"/>
              <w:left w:val="single" w:color="94A3B8" w:sz="1"/>
              <w:bottom w:val="single" w:color="94A3B8" w:sz="1"/>
              <w:right w:val="single" w:color="94A3B8" w:sz="1"/>
            </w:tcBorders>
          </w:tcPr>
          <w:p>
            <w:pPr>
              <w:jc w:val="center"/>
            </w:pPr>
            <w:r>
              <w:rPr>
                <w:sz w:val="22"/>
                <w:szCs w:val="22"/>
              </w:rPr>
              <w:t xml:space="preserve">Firebase / Supabase</w:t>
            </w:r>
          </w:p>
        </w:tc>
        <w:tc>
          <w:tcPr>
            <w:tcW w:type="dxa" w:w="3510"/>
            <w:tcBorders>
              <w:top w:val="single" w:color="94A3B8" w:sz="1"/>
              <w:left w:val="single" w:color="94A3B8" w:sz="1"/>
              <w:bottom w:val="single" w:color="94A3B8" w:sz="1"/>
              <w:right w:val="single" w:color="94A3B8" w:sz="1"/>
            </w:tcBorders>
          </w:tcPr>
          <w:p>
            <w:r>
              <w:rPr>
                <w:sz w:val="20"/>
                <w:szCs w:val="20"/>
              </w:rPr>
              <w:t xml:space="preserve">Serverless, escalable, auth integrado, realtime DB, storage</w:t>
            </w:r>
          </w:p>
        </w:tc>
      </w:tr>
      <w:tr>
        <w:tc>
          <w:tcPr>
            <w:tcW w:type="dxa" w:w="2340"/>
            <w:tcBorders>
              <w:top w:val="single" w:color="94A3B8" w:sz="1"/>
              <w:left w:val="single" w:color="94A3B8" w:sz="1"/>
              <w:bottom w:val="single" w:color="94A3B8" w:sz="1"/>
              <w:right w:val="single" w:color="94A3B8" w:sz="1"/>
            </w:tcBorders>
          </w:tcPr>
          <w:p>
            <w:pPr>
              <w:jc w:val="center"/>
            </w:pPr>
            <w:r>
              <w:rPr>
                <w:b/>
                <w:bCs/>
                <w:sz w:val="22"/>
                <w:szCs w:val="22"/>
              </w:rPr>
              <w:t xml:space="preserve">DI</w:t>
            </w:r>
          </w:p>
        </w:tc>
        <w:tc>
          <w:tcPr>
            <w:tcW w:type="dxa" w:w="3510"/>
            <w:tcBorders>
              <w:top w:val="single" w:color="94A3B8" w:sz="1"/>
              <w:left w:val="single" w:color="94A3B8" w:sz="1"/>
              <w:bottom w:val="single" w:color="94A3B8" w:sz="1"/>
              <w:right w:val="single" w:color="94A3B8" w:sz="1"/>
            </w:tcBorders>
          </w:tcPr>
          <w:p>
            <w:pPr>
              <w:jc w:val="center"/>
            </w:pPr>
            <w:r>
              <w:rPr>
                <w:sz w:val="22"/>
                <w:szCs w:val="22"/>
              </w:rPr>
              <w:t xml:space="preserve">get_it + injectable</w:t>
            </w:r>
          </w:p>
        </w:tc>
        <w:tc>
          <w:tcPr>
            <w:tcW w:type="dxa" w:w="3510"/>
            <w:tcBorders>
              <w:top w:val="single" w:color="94A3B8" w:sz="1"/>
              <w:left w:val="single" w:color="94A3B8" w:sz="1"/>
              <w:bottom w:val="single" w:color="94A3B8" w:sz="1"/>
              <w:right w:val="single" w:color="94A3B8" w:sz="1"/>
            </w:tcBorders>
          </w:tcPr>
          <w:p>
            <w:r>
              <w:rPr>
                <w:sz w:val="20"/>
                <w:szCs w:val="20"/>
              </w:rPr>
              <w:t xml:space="preserve">Inyección simple, code generation, testable</w:t>
            </w:r>
          </w:p>
        </w:tc>
      </w:tr>
      <w:tr>
        <w:tc>
          <w:tcPr>
            <w:tcW w:type="dxa" w:w="2340"/>
            <w:tcBorders>
              <w:top w:val="single" w:color="94A3B8" w:sz="1"/>
              <w:left w:val="single" w:color="94A3B8" w:sz="1"/>
              <w:bottom w:val="single" w:color="94A3B8" w:sz="1"/>
              <w:right w:val="single" w:color="94A3B8" w:sz="1"/>
            </w:tcBorders>
          </w:tcPr>
          <w:p>
            <w:pPr>
              <w:jc w:val="center"/>
            </w:pPr>
            <w:r>
              <w:rPr>
                <w:b/>
                <w:bCs/>
                <w:sz w:val="22"/>
                <w:szCs w:val="22"/>
              </w:rPr>
              <w:t xml:space="preserve">Networking</w:t>
            </w:r>
          </w:p>
        </w:tc>
        <w:tc>
          <w:tcPr>
            <w:tcW w:type="dxa" w:w="3510"/>
            <w:tcBorders>
              <w:top w:val="single" w:color="94A3B8" w:sz="1"/>
              <w:left w:val="single" w:color="94A3B8" w:sz="1"/>
              <w:bottom w:val="single" w:color="94A3B8" w:sz="1"/>
              <w:right w:val="single" w:color="94A3B8" w:sz="1"/>
            </w:tcBorders>
          </w:tcPr>
          <w:p>
            <w:pPr>
              <w:jc w:val="center"/>
            </w:pPr>
            <w:r>
              <w:rPr>
                <w:sz w:val="22"/>
                <w:szCs w:val="22"/>
              </w:rPr>
              <w:t xml:space="preserve">dio + retrofit</w:t>
            </w:r>
          </w:p>
        </w:tc>
        <w:tc>
          <w:tcPr>
            <w:tcW w:type="dxa" w:w="3510"/>
            <w:tcBorders>
              <w:top w:val="single" w:color="94A3B8" w:sz="1"/>
              <w:left w:val="single" w:color="94A3B8" w:sz="1"/>
              <w:bottom w:val="single" w:color="94A3B8" w:sz="1"/>
              <w:right w:val="single" w:color="94A3B8" w:sz="1"/>
            </w:tcBorders>
          </w:tcPr>
          <w:p>
            <w:r>
              <w:rPr>
                <w:sz w:val="20"/>
                <w:szCs w:val="20"/>
              </w:rPr>
              <w:t xml:space="preserve">Interceptors, retry, cache, type-safe APIs</w:t>
            </w:r>
          </w:p>
        </w:tc>
      </w:tr>
      <w:tr>
        <w:tc>
          <w:tcPr>
            <w:tcW w:type="dxa" w:w="2340"/>
            <w:tcBorders>
              <w:top w:val="single" w:color="94A3B8" w:sz="1"/>
              <w:left w:val="single" w:color="94A3B8" w:sz="1"/>
              <w:bottom w:val="single" w:color="94A3B8" w:sz="1"/>
              <w:right w:val="single" w:color="94A3B8" w:sz="1"/>
            </w:tcBorders>
          </w:tcPr>
          <w:p>
            <w:pPr>
              <w:jc w:val="center"/>
            </w:pPr>
            <w:r>
              <w:rPr>
                <w:b/>
                <w:bCs/>
                <w:sz w:val="22"/>
                <w:szCs w:val="22"/>
              </w:rPr>
              <w:t xml:space="preserve">Storage Local</w:t>
            </w:r>
          </w:p>
        </w:tc>
        <w:tc>
          <w:tcPr>
            <w:tcW w:type="dxa" w:w="3510"/>
            <w:tcBorders>
              <w:top w:val="single" w:color="94A3B8" w:sz="1"/>
              <w:left w:val="single" w:color="94A3B8" w:sz="1"/>
              <w:bottom w:val="single" w:color="94A3B8" w:sz="1"/>
              <w:right w:val="single" w:color="94A3B8" w:sz="1"/>
            </w:tcBorders>
          </w:tcPr>
          <w:p>
            <w:pPr>
              <w:jc w:val="center"/>
            </w:pPr>
            <w:r>
              <w:rPr>
                <w:sz w:val="22"/>
                <w:szCs w:val="22"/>
              </w:rPr>
              <w:t xml:space="preserve">Hive / Isar</w:t>
            </w:r>
          </w:p>
        </w:tc>
        <w:tc>
          <w:tcPr>
            <w:tcW w:type="dxa" w:w="3510"/>
            <w:tcBorders>
              <w:top w:val="single" w:color="94A3B8" w:sz="1"/>
              <w:left w:val="single" w:color="94A3B8" w:sz="1"/>
              <w:bottom w:val="single" w:color="94A3B8" w:sz="1"/>
              <w:right w:val="single" w:color="94A3B8" w:sz="1"/>
            </w:tcBorders>
          </w:tcPr>
          <w:p>
            <w:r>
              <w:rPr>
                <w:sz w:val="20"/>
                <w:szCs w:val="20"/>
              </w:rPr>
              <w:t xml:space="preserve">NoSQL rápido, encryption, queries complejas</w:t>
            </w:r>
          </w:p>
        </w:tc>
      </w:tr>
      <w:tr>
        <w:tc>
          <w:tcPr>
            <w:tcW w:type="dxa" w:w="2340"/>
            <w:tcBorders>
              <w:top w:val="single" w:color="94A3B8" w:sz="1"/>
              <w:left w:val="single" w:color="94A3B8" w:sz="1"/>
              <w:bottom w:val="single" w:color="94A3B8" w:sz="1"/>
              <w:right w:val="single" w:color="94A3B8" w:sz="1"/>
            </w:tcBorders>
          </w:tcPr>
          <w:p>
            <w:pPr>
              <w:jc w:val="center"/>
            </w:pPr>
            <w:r>
              <w:rPr>
                <w:b/>
                <w:bCs/>
                <w:sz w:val="22"/>
                <w:szCs w:val="22"/>
              </w:rPr>
              <w:t xml:space="preserve">Pagos</w:t>
            </w:r>
          </w:p>
        </w:tc>
        <w:tc>
          <w:tcPr>
            <w:tcW w:type="dxa" w:w="3510"/>
            <w:tcBorders>
              <w:top w:val="single" w:color="94A3B8" w:sz="1"/>
              <w:left w:val="single" w:color="94A3B8" w:sz="1"/>
              <w:bottom w:val="single" w:color="94A3B8" w:sz="1"/>
              <w:right w:val="single" w:color="94A3B8" w:sz="1"/>
            </w:tcBorders>
          </w:tcPr>
          <w:p>
            <w:pPr>
              <w:jc w:val="center"/>
            </w:pPr>
            <w:r>
              <w:rPr>
                <w:sz w:val="22"/>
                <w:szCs w:val="22"/>
              </w:rPr>
              <w:t xml:space="preserve">RevenueCat / in_app_purchase</w:t>
            </w:r>
          </w:p>
        </w:tc>
        <w:tc>
          <w:tcPr>
            <w:tcW w:type="dxa" w:w="3510"/>
            <w:tcBorders>
              <w:top w:val="single" w:color="94A3B8" w:sz="1"/>
              <w:left w:val="single" w:color="94A3B8" w:sz="1"/>
              <w:bottom w:val="single" w:color="94A3B8" w:sz="1"/>
              <w:right w:val="single" w:color="94A3B8" w:sz="1"/>
            </w:tcBorders>
          </w:tcPr>
          <w:p>
            <w:r>
              <w:rPr>
                <w:sz w:val="20"/>
                <w:szCs w:val="20"/>
              </w:rPr>
              <w:t xml:space="preserve">Gestión unificada iOS/Android, analytics, webhooks</w:t>
            </w:r>
          </w:p>
        </w:tc>
      </w:tr>
    </w:tbl>
    <w:p>
      <w:pPr>
        <w:spacing w:after="200" w:before="100"/>
        <w:jc w:val="center"/>
      </w:pPr>
      <w:r>
        <w:rPr>
          <w:i/>
          <w:iCs/>
          <w:color w:val="64748B"/>
          <w:sz w:val="18"/>
          <w:szCs w:val="18"/>
        </w:rPr>
        <w:t xml:space="preserve">Tabla 3: Stack tecnológico recomendado</w:t>
      </w:r>
    </w:p>
    <w:p>
      <w:pPr>
        <w:pStyle w:val="Heading1"/>
      </w:pPr>
      <w:r>
        <w:t xml:space="preserve">6. Modelo de Monetización</w:t>
      </w:r>
    </w:p>
    <w:p>
      <w:pPr>
        <w:spacing w:after="100"/>
      </w:pPr>
      <w:r>
        <w:rPr>
          <w:rFonts w:ascii="Calibri" w:cs="Calibri" w:eastAsia="Calibri" w:hAnsi="Calibri"/>
          <w:sz w:val="22"/>
          <w:szCs w:val="22"/>
        </w:rPr>
        <w:t xml:space="preserve">El modelo de monetización propuesto sigue un enfoque freemium con suscripciones, similar al modelo exitoso de aplicaciones como Canva, Spotify y Paperless Post. Este enfoque permite atraer una base amplia de usuarios gratuitos mientras genera ingresos recurrentes estables a través de suscripciones premium. La estructura de planes se ha diseñado para ofrecer valor claro en cada nivel:</w:t>
      </w:r>
    </w:p>
    <w:p>
      <w:pPr>
        <w:pStyle w:val="Heading2"/>
      </w:pPr>
      <w:r>
        <w:t xml:space="preserve">6.1 Plan Gratuito</w:t>
      </w:r>
    </w:p>
    <w:p>
      <w:pPr>
        <w:pStyle w:val="ListParagraph"/>
        <w:numPr>
          <w:ilvl w:val="0"/>
          <w:numId w:val="3"/>
        </w:numPr>
      </w:pPr>
      <w:r>
        <w:rPr>
          <w:sz w:val="22"/>
          <w:szCs w:val="22"/>
        </w:rPr>
        <w:t xml:space="preserve">Acceso a 50+ plantillas básicas en todas las categorías de eventos</w:t>
      </w:r>
    </w:p>
    <w:p>
      <w:pPr>
        <w:pStyle w:val="ListParagraph"/>
        <w:numPr>
          <w:ilvl w:val="0"/>
          <w:numId w:val="3"/>
        </w:numPr>
      </w:pPr>
      <w:r>
        <w:rPr>
          <w:sz w:val="22"/>
          <w:szCs w:val="22"/>
        </w:rPr>
        <w:t xml:space="preserve">Hasta 3 eventos activos simultáneamente</w:t>
      </w:r>
    </w:p>
    <w:p>
      <w:pPr>
        <w:pStyle w:val="ListParagraph"/>
        <w:numPr>
          <w:ilvl w:val="0"/>
          <w:numId w:val="3"/>
        </w:numPr>
      </w:pPr>
      <w:r>
        <w:rPr>
          <w:sz w:val="22"/>
          <w:szCs w:val="22"/>
        </w:rPr>
        <w:t xml:space="preserve">Exportación en calidad estándar con marca de agua pequeña</w:t>
      </w:r>
    </w:p>
    <w:p>
      <w:pPr>
        <w:pStyle w:val="ListParagraph"/>
        <w:numPr>
          <w:ilvl w:val="0"/>
          <w:numId w:val="3"/>
        </w:numPr>
      </w:pPr>
      <w:r>
        <w:rPr>
          <w:sz w:val="22"/>
          <w:szCs w:val="22"/>
        </w:rPr>
        <w:t xml:space="preserve">Envío por enlace y WhatsApp sin límites</w:t>
      </w:r>
    </w:p>
    <w:p>
      <w:pPr>
        <w:pStyle w:val="ListParagraph"/>
        <w:numPr>
          <w:ilvl w:val="0"/>
          <w:numId w:val="3"/>
        </w:numPr>
        <w:spacing w:after="150"/>
      </w:pPr>
      <w:r>
        <w:rPr>
          <w:sz w:val="22"/>
          <w:szCs w:val="22"/>
        </w:rPr>
        <w:t xml:space="preserve">Gestión básica de RSVP para hasta 30 invitados por evento</w:t>
      </w:r>
    </w:p>
    <w:p>
      <w:pPr>
        <w:pStyle w:val="Heading2"/>
      </w:pPr>
      <w:r>
        <w:t xml:space="preserve">6.2 Plan Premium</w:t>
      </w:r>
    </w:p>
    <w:p>
      <w:pPr>
        <w:pStyle w:val="ListParagraph"/>
        <w:numPr>
          <w:ilvl w:val="0"/>
          <w:numId w:val="3"/>
        </w:numPr>
      </w:pPr>
      <w:r>
        <w:rPr>
          <w:sz w:val="22"/>
          <w:szCs w:val="22"/>
        </w:rPr>
        <w:t xml:space="preserve">Acceso completo a más de 500 plantillas premium diseñadas por profesionales</w:t>
      </w:r>
    </w:p>
    <w:p>
      <w:pPr>
        <w:pStyle w:val="ListParagraph"/>
        <w:numPr>
          <w:ilvl w:val="0"/>
          <w:numId w:val="3"/>
        </w:numPr>
      </w:pPr>
      <w:r>
        <w:rPr>
          <w:sz w:val="22"/>
          <w:szCs w:val="22"/>
        </w:rPr>
        <w:t xml:space="preserve">Eventos ilimitados sin restricciones</w:t>
      </w:r>
    </w:p>
    <w:p>
      <w:pPr>
        <w:pStyle w:val="ListParagraph"/>
        <w:numPr>
          <w:ilvl w:val="0"/>
          <w:numId w:val="3"/>
        </w:numPr>
      </w:pPr>
      <w:r>
        <w:rPr>
          <w:sz w:val="22"/>
          <w:szCs w:val="22"/>
        </w:rPr>
        <w:t xml:space="preserve">Exportación en alta resolución sin marca de agua</w:t>
      </w:r>
    </w:p>
    <w:p>
      <w:pPr>
        <w:pStyle w:val="ListParagraph"/>
        <w:numPr>
          <w:ilvl w:val="0"/>
          <w:numId w:val="3"/>
        </w:numPr>
      </w:pPr>
      <w:r>
        <w:rPr>
          <w:sz w:val="22"/>
          <w:szCs w:val="22"/>
        </w:rPr>
        <w:t xml:space="preserve">Invitaciones animadas con música y efectos premium</w:t>
      </w:r>
    </w:p>
    <w:p>
      <w:pPr>
        <w:pStyle w:val="ListParagraph"/>
        <w:numPr>
          <w:ilvl w:val="0"/>
          <w:numId w:val="3"/>
        </w:numPr>
      </w:pPr>
      <w:r>
        <w:rPr>
          <w:sz w:val="22"/>
          <w:szCs w:val="22"/>
        </w:rPr>
        <w:t xml:space="preserve">Página web personalizada del evento con dominio personalizado</w:t>
      </w:r>
    </w:p>
    <w:p>
      <w:pPr>
        <w:pStyle w:val="ListParagraph"/>
        <w:numPr>
          <w:ilvl w:val="0"/>
          <w:numId w:val="3"/>
        </w:numPr>
      </w:pPr>
      <w:r>
        <w:rPr>
          <w:sz w:val="22"/>
          <w:szCs w:val="22"/>
        </w:rPr>
        <w:t xml:space="preserve">Gestión de RSVP ilimitada con recordatorios automáticos</w:t>
      </w:r>
    </w:p>
    <w:p>
      <w:pPr>
        <w:pStyle w:val="ListParagraph"/>
        <w:numPr>
          <w:ilvl w:val="0"/>
          <w:numId w:val="3"/>
        </w:numPr>
        <w:spacing w:after="100"/>
      </w:pPr>
      <w:r>
        <w:rPr>
          <w:sz w:val="22"/>
          <w:szCs w:val="22"/>
        </w:rPr>
        <w:t xml:space="preserve">Almacenamiento en la nube para fotos y documentos del evento</w:t>
      </w:r>
    </w:p>
    <w:p>
      <w:pPr>
        <w:spacing w:after="150"/>
      </w:pPr>
      <w:r>
        <w:rPr>
          <w:rFonts w:ascii="Calibri" w:cs="Calibri" w:eastAsia="Calibri" w:hAnsi="Calibri"/>
          <w:b/>
          <w:bCs/>
          <w:sz w:val="22"/>
          <w:szCs w:val="22"/>
        </w:rPr>
        <w:t xml:space="preserve">Precio sugerido: $4.99 USD/mes o $39.99 USD/año (33% de descuento)</w:t>
      </w:r>
    </w:p>
    <w:p>
      <w:pPr>
        <w:pStyle w:val="Heading2"/>
      </w:pPr>
      <w:r>
        <w:t xml:space="preserve">6.3 Ingresos por Compras In-App</w:t>
      </w:r>
    </w:p>
    <w:p>
      <w:pPr>
        <w:spacing w:after="150"/>
      </w:pPr>
      <w:r>
        <w:rPr>
          <w:rFonts w:ascii="Calibri" w:cs="Calibri" w:eastAsia="Calibri" w:hAnsi="Calibri"/>
          <w:sz w:val="22"/>
          <w:szCs w:val="22"/>
        </w:rPr>
        <w:t xml:space="preserve">Además de las suscripciones, se pueden implementar compras únicas para plantillas premium individuales, paquetes de elementos gráficos exclusivos, y funcionalidades especiales como la eliminación permanente de marca de agua en una invitación específica. Este modelo de microtransacciones complementa los ingresos por suscripción y permite a los usuarios ocasionales acceder a contenido premium sin comprometerse con una suscripción mensual.</w:t>
      </w:r>
    </w:p>
    <w:p>
      <w:pPr>
        <w:pStyle w:val="Heading1"/>
      </w:pPr>
      <w:r>
        <w:t xml:space="preserve">7. Roadmap de Desarrollo</w:t>
      </w:r>
    </w:p>
    <w:p>
      <w:pPr>
        <w:spacing w:after="100"/>
      </w:pPr>
      <w:r>
        <w:rPr>
          <w:rFonts w:ascii="Calibri" w:cs="Calibri" w:eastAsia="Calibri" w:hAnsi="Calibri"/>
          <w:sz w:val="22"/>
          <w:szCs w:val="22"/>
        </w:rPr>
        <w:t xml:space="preserve">El desarrollo de la aplicación se ha planificado en fases iterativas de aproximadamente 2 meses cada una, permitiendo entregas incrementales de valor y validación continua con usuarios reales:</w:t>
      </w:r>
    </w:p>
    <w:p>
      <w:pPr>
        <w:pStyle w:val="Heading3"/>
      </w:pPr>
      <w:r>
        <w:t xml:space="preserve">Fase 1 - MVP (Meses 1-2)</w:t>
      </w:r>
    </w:p>
    <w:p>
      <w:pPr>
        <w:pStyle w:val="ListParagraph"/>
        <w:numPr>
          <w:ilvl w:val="0"/>
          <w:numId w:val="4"/>
        </w:numPr>
      </w:pPr>
      <w:r>
        <w:rPr>
          <w:sz w:val="22"/>
          <w:szCs w:val="22"/>
        </w:rPr>
        <w:t xml:space="preserve">Autenticación completa con email y proveedores sociales</w:t>
      </w:r>
    </w:p>
    <w:p>
      <w:pPr>
        <w:pStyle w:val="ListParagraph"/>
        <w:numPr>
          <w:ilvl w:val="0"/>
          <w:numId w:val="4"/>
        </w:numPr>
      </w:pPr>
      <w:r>
        <w:rPr>
          <w:sz w:val="22"/>
          <w:szCs w:val="22"/>
        </w:rPr>
        <w:t xml:space="preserve">Catálogo inicial de 50 plantillas para 5 categorías principales</w:t>
      </w:r>
    </w:p>
    <w:p>
      <w:pPr>
        <w:pStyle w:val="ListParagraph"/>
        <w:numPr>
          <w:ilvl w:val="0"/>
          <w:numId w:val="4"/>
        </w:numPr>
      </w:pPr>
      <w:r>
        <w:rPr>
          <w:sz w:val="22"/>
          <w:szCs w:val="22"/>
        </w:rPr>
        <w:t xml:space="preserve">Editor básico con personalización de texto y colores</w:t>
      </w:r>
    </w:p>
    <w:p>
      <w:pPr>
        <w:pStyle w:val="ListParagraph"/>
        <w:numPr>
          <w:ilvl w:val="0"/>
          <w:numId w:val="4"/>
        </w:numPr>
      </w:pPr>
      <w:r>
        <w:rPr>
          <w:sz w:val="22"/>
          <w:szCs w:val="22"/>
        </w:rPr>
        <w:t xml:space="preserve">Exportación en PNG y PDF sin animaciones</w:t>
      </w:r>
    </w:p>
    <w:p>
      <w:pPr>
        <w:pStyle w:val="ListParagraph"/>
        <w:numPr>
          <w:ilvl w:val="0"/>
          <w:numId w:val="4"/>
        </w:numPr>
        <w:spacing w:after="150"/>
      </w:pPr>
      <w:r>
        <w:rPr>
          <w:sz w:val="22"/>
          <w:szCs w:val="22"/>
        </w:rPr>
        <w:t xml:space="preserve">Compartir por enlace y principales redes sociales</w:t>
      </w:r>
    </w:p>
    <w:p>
      <w:pPr>
        <w:pStyle w:val="Heading3"/>
      </w:pPr>
      <w:r>
        <w:t xml:space="preserve">Fase 2 - Gestión de Eventos (Meses 3-4)</w:t>
      </w:r>
    </w:p>
    <w:p>
      <w:pPr>
        <w:pStyle w:val="ListParagraph"/>
        <w:numPr>
          <w:ilvl w:val="0"/>
          <w:numId w:val="5"/>
        </w:numPr>
      </w:pPr>
      <w:r>
        <w:rPr>
          <w:sz w:val="22"/>
          <w:szCs w:val="22"/>
        </w:rPr>
        <w:t xml:space="preserve">Módulo completo de gestión de eventos y calendario</w:t>
      </w:r>
    </w:p>
    <w:p>
      <w:pPr>
        <w:pStyle w:val="ListParagraph"/>
        <w:numPr>
          <w:ilvl w:val="0"/>
          <w:numId w:val="5"/>
        </w:numPr>
      </w:pPr>
      <w:r>
        <w:rPr>
          <w:sz w:val="22"/>
          <w:szCs w:val="22"/>
        </w:rPr>
        <w:t xml:space="preserve">Sistema RSVP con seguimiento de respuestas</w:t>
      </w:r>
    </w:p>
    <w:p>
      <w:pPr>
        <w:pStyle w:val="ListParagraph"/>
        <w:numPr>
          <w:ilvl w:val="0"/>
          <w:numId w:val="5"/>
        </w:numPr>
      </w:pPr>
      <w:r>
        <w:rPr>
          <w:sz w:val="22"/>
          <w:szCs w:val="22"/>
        </w:rPr>
        <w:t xml:space="preserve">Importación de contactos desde dispositivo y Google</w:t>
      </w:r>
    </w:p>
    <w:p>
      <w:pPr>
        <w:pStyle w:val="ListParagraph"/>
        <w:numPr>
          <w:ilvl w:val="0"/>
          <w:numId w:val="5"/>
        </w:numPr>
        <w:spacing w:after="150"/>
      </w:pPr>
      <w:r>
        <w:rPr>
          <w:sz w:val="22"/>
          <w:szCs w:val="22"/>
        </w:rPr>
        <w:t xml:space="preserve">Notificaciones push y recordatorios automáticos</w:t>
      </w:r>
    </w:p>
    <w:p>
      <w:pPr>
        <w:pStyle w:val="Heading3"/>
      </w:pPr>
      <w:r>
        <w:t xml:space="preserve">Fase 3 - Editor Avanzado (Meses 5-6)</w:t>
      </w:r>
    </w:p>
    <w:p>
      <w:pPr>
        <w:pStyle w:val="ListParagraph"/>
        <w:numPr>
          <w:ilvl w:val="0"/>
          <w:numId w:val="6"/>
        </w:numPr>
      </w:pPr>
      <w:r>
        <w:rPr>
          <w:sz w:val="22"/>
          <w:szCs w:val="22"/>
        </w:rPr>
        <w:t xml:space="preserve">Editor con capas, transformaciones y efectos avanzados</w:t>
      </w:r>
    </w:p>
    <w:p>
      <w:pPr>
        <w:pStyle w:val="ListParagraph"/>
        <w:numPr>
          <w:ilvl w:val="0"/>
          <w:numId w:val="6"/>
        </w:numPr>
      </w:pPr>
      <w:r>
        <w:rPr>
          <w:sz w:val="22"/>
          <w:szCs w:val="22"/>
        </w:rPr>
        <w:t xml:space="preserve">Biblioteca de elementos gráficos y stickers animados</w:t>
      </w:r>
    </w:p>
    <w:p>
      <w:pPr>
        <w:pStyle w:val="ListParagraph"/>
        <w:numPr>
          <w:ilvl w:val="0"/>
          <w:numId w:val="6"/>
        </w:numPr>
      </w:pPr>
      <w:r>
        <w:rPr>
          <w:sz w:val="22"/>
          <w:szCs w:val="22"/>
        </w:rPr>
        <w:t xml:space="preserve">Invitaciones animadas con transiciones y música</w:t>
      </w:r>
    </w:p>
    <w:p>
      <w:pPr>
        <w:pStyle w:val="ListParagraph"/>
        <w:numPr>
          <w:ilvl w:val="0"/>
          <w:numId w:val="6"/>
        </w:numPr>
        <w:spacing w:after="150"/>
      </w:pPr>
      <w:r>
        <w:rPr>
          <w:sz w:val="22"/>
          <w:szCs w:val="22"/>
        </w:rPr>
        <w:t xml:space="preserve">Integración de sistema de pagos y suscripciones</w:t>
      </w:r>
    </w:p>
    <w:p>
      <w:pPr>
        <w:pStyle w:val="Heading3"/>
      </w:pPr>
      <w:r>
        <w:t xml:space="preserve">Fase 4 - Escalamiento (Meses 7-8)</w:t>
      </w:r>
    </w:p>
    <w:p>
      <w:pPr>
        <w:spacing w:after="150"/>
      </w:pPr>
      <w:r>
        <w:rPr>
          <w:rFonts w:ascii="Calibri" w:cs="Calibri" w:eastAsia="Calibri" w:hAnsi="Calibri"/>
          <w:sz w:val="22"/>
          <w:szCs w:val="22"/>
        </w:rPr>
        <w:t xml:space="preserve">Ampliación del catálogo a más de 500 plantillas, implementación de función de colaboración en tiempo real para planificación de eventos, integración con plataformas de regalo y mesas de regalos, desarrollo de versión web complementaria, y optimización para tablets y pantallas grandes.</w:t>
      </w:r>
    </w:p>
    <w:p>
      <w:pPr>
        <w:pStyle w:val="Heading1"/>
      </w:pPr>
      <w:r>
        <w:t xml:space="preserve">8. Conclusiones y Recomendaciones</w:t>
      </w:r>
    </w:p>
    <w:p>
      <w:pPr>
        <w:spacing w:after="150"/>
      </w:pPr>
      <w:r>
        <w:rPr>
          <w:rFonts w:ascii="Calibri" w:cs="Calibri" w:eastAsia="Calibri" w:hAnsi="Calibri"/>
          <w:sz w:val="22"/>
          <w:szCs w:val="22"/>
        </w:rPr>
        <w:t xml:space="preserve">La propuesta presentada ofrece una solución integral y diferenciada en el mercado de invitaciones digitales. La combinación de una arquitectura técnica sólida basada en Flutter y Clean Architecture, un modelo de monetización sostenible, y un enfoque centrado en la experiencia del usuario posiciona a esta aplicación como una alternativa competitiva frente a soluciones existentes como Evite, Paperless Post y Canva. La ventaja competitiva principal radica en ofrecer una experiencia móvil nativa superior con funcionalidades completas de gestión de eventos, algo que los competidores actuales no proporcionan de manera integrada.</w:t>
      </w:r>
    </w:p>
    <w:p>
      <w:pPr>
        <w:spacing w:after="150"/>
      </w:pPr>
      <w:r>
        <w:rPr>
          <w:rFonts w:ascii="Calibri" w:cs="Calibri" w:eastAsia="Calibri" w:hAnsi="Calibri"/>
          <w:sz w:val="22"/>
          <w:szCs w:val="22"/>
        </w:rPr>
        <w:t xml:space="preserve">Se recomienda iniciar con el desarrollo del MVP priorizando las funcionalidades de autenticación, catálogo básico de plantillas y editor simple, lo que permitirá validar el mercado y obtener feedback temprano de usuarios reales antes de invertir en funcionalidades más complejas. La arquitectura modular propuesta facilitará la incorporación de nuevas características de manera incremental sin comprometer la estabilidad del sistema existente.</w:t>
      </w:r>
    </w:p>
    <w:p>
      <w:pPr>
        <w:spacing w:after="150"/>
      </w:pPr>
      <w:r>
        <w:rPr>
          <w:rFonts w:ascii="Calibri" w:cs="Calibri" w:eastAsia="Calibri" w:hAnsi="Calibri"/>
          <w:sz w:val="22"/>
          <w:szCs w:val="22"/>
        </w:rPr>
        <w:t xml:space="preserve">El éxito del proyecto dependerá en gran medida de la calidad y variedad del catálogo de plantillas, por lo que se sugiere establecer alianzas con diseñadores gráficos independientes para crear contenido premium diferenciado, implementando un programa de revenue share que incentive la creación de plantillas de alta calidad y mantenga el catálogo fresco y actualizado con las tendencias de diseño actuales.</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Página </w:t>
    </w:r>
    <w:r>
      <w:rPr>
        <w:color w:val="64748B"/>
        <w:sz w:val="18"/>
        <w:szCs w:val="18"/>
      </w:rPr>
      <w:fldChar w:fldCharType="begin"/>
      <w:instrText xml:space="preserve">PAGE</w:instrText>
      <w:fldChar w:fldCharType="separate"/>
      <w:fldChar w:fldCharType="end"/>
    </w:r>
    <w:r>
      <w:rPr>
        <w:color w:val="64748B"/>
        <w:sz w:val="18"/>
        <w:szCs w:val="18"/>
      </w:rPr>
      <w:t xml:space="preserve"> de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8"/>
        <w:szCs w:val="18"/>
      </w:rPr>
      <w:t xml:space="preserve">Propuesta: App de Invitaciones Digitales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2026-03-03T13:18:10.585Z</dcterms:created>
  <dcterms:modified xsi:type="dcterms:W3CDTF">2026-03-03T13:18:10.585Z</dcterms:modified>
</cp:coreProperties>
</file>

<file path=docProps/custom.xml><?xml version="1.0" encoding="utf-8"?>
<Properties xmlns="http://schemas.openxmlformats.org/officeDocument/2006/custom-properties" xmlns:vt="http://schemas.openxmlformats.org/officeDocument/2006/docPropsVTypes"/>
</file>