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民 事 判 决 书</w:t>
      </w:r>
    </w:p>
    <w:p>
      <w:pPr>
        <w:jc w:val="center"/>
      </w:pPr>
      <w:r>
        <w:t>深圳市南山区人民法院</w:t>
      </w:r>
    </w:p>
    <w:p>
      <w:pPr>
        <w:jc w:val="center"/>
      </w:pPr>
      <w:r>
        <w:t>(2024)粤0305民初第12345号</w:t>
      </w:r>
    </w:p>
    <w:p>
      <w:r>
        <w:t>原告: 刘晓燕，女，1988年5月12日出生，汉族，身份证号码430104198805123456，住广东省深圳市南山区蛇口街道海上世界双玺花园3栋2801室。联系电话: 13974561234。</w:t>
        <w:br/>
        <w:t>委托诉讼代理人: 陈国栋，广东正义律师事务所律师。联系电话: 13512345678。</w:t>
      </w:r>
    </w:p>
    <w:p>
      <w:r>
        <w:t>被告: 深圳市锦程房地产开发有限公司，住所地广东省深圳市福田区深南大道6013号中国有色大厦18楼。统一社会信用代码: 91440300MA5F1234AB。</w:t>
        <w:br/>
        <w:t>法定代表人: 钱伟明，男，身份证号码440301197206081234，该公司总经理。</w:t>
        <w:br/>
        <w:t>委托诉讼代理人: 赵启明，广东鹏程律师事务所律师。联系电话: 13823456789，邮箱: zhaoqiming@gdpclawyer.com。</w:t>
      </w:r>
    </w:p>
    <w:p>
      <w:pPr>
        <w:pStyle w:val="Heading2"/>
      </w:pPr>
      <w:r>
        <w:t>审理查明</w:t>
      </w:r>
    </w:p>
    <w:p>
      <w:r>
        <w:t>经审理查明: 2023年5月15日，原告刘晓燕与被告深圳市锦程房地产开发有限公司签订《商品房买卖合同》，约定原告购买被告开发的位于深圳市南山区后海大道128号"锦程·翡翠湾"项目B栋12层1201号房屋，建筑面积132.56平方米，总价款人民币6,850,000元。合同约定交房日期为2024年6月30日。</w:t>
        <w:br/>
        <w:br/>
        <w:t>原告已按合同约定支付全部购房款，其中首付款2,050,000元于2023年5月20日通过银行转账支付(转出账户: 招商银行6225881234509876543)，剩余4,800,000元按揭贷款由中国工商银行深圳南山支行于2023年6月15日发放。</w:t>
        <w:br/>
        <w:br/>
        <w:t>截至起诉之日(2025年1月10日)，被告仍未交付上述房屋，逾期已达194天。被告辩称因施工方(深圳市鸿基建筑工程有限公司，法人代表周大海，电话18765432109)工程延误导致工期推迟，非被告主观过错。</w:t>
        <w:br/>
        <w:br/>
        <w:t>本院另查明，被告项目经理孙浩(身份证号440305198901156789，手机18923456789)在庭审中确认，该项目实际竣工验收日期为2024年11月30日，已取得竣工验收备案表。</w:t>
      </w:r>
    </w:p>
    <w:p>
      <w:pPr>
        <w:pStyle w:val="Heading2"/>
      </w:pPr>
      <w:r>
        <w:t>裁判结果</w:t>
      </w:r>
    </w:p>
    <w:p>
      <w:r>
        <w:t>综上，依照《中华人民共和国民法典》第五百七十七条、第五百八十五条之规定，判决如下:</w:t>
        <w:br/>
        <w:br/>
        <w:t>一、被告深圳市锦程房地产开发有限公司于本判决生效之日起十五日内向原告刘晓燕交付位于深圳市南山区后海大道128号"锦程·翡翠湾"B栋1201号房屋;</w:t>
        <w:br/>
        <w:br/>
        <w:t>二、被告深圳市锦程房地产开发有限公司于本判决生效之日起十五日内向原告刘晓燕支付逾期交房违约金人民币398,730元(计算方式: 6,850,000元 × 0.03% × 194天)，款项支付至原告银行账户(户名: 刘晓燕，开户行: 招商银行深圳科技园支行，账号: 6225881234509876543);</w:t>
        <w:br/>
        <w:br/>
        <w:t>三、案件受理费7,281元，由被告深圳市锦程房地产开发有限公司负担。</w:t>
        <w:br/>
        <w:br/>
        <w:t>如不服本判决，可在判决书送达之日起十五日内向本院递交上诉状，并按对方当事人的人数提出副本，上诉于广东省深圳市中级人民法院。</w:t>
      </w:r>
    </w:p>
    <w:p>
      <w:r>
        <w:br/>
        <w:br/>
        <w:t>审判长: 李正华</w:t>
        <w:br/>
        <w:t>审判员: 王丽芳</w:t>
        <w:br/>
        <w:t>人民陪审员: 杨建设</w:t>
        <w:br/>
        <w:t>书记员: 陈小芳</w:t>
        <w:br/>
        <w:br/>
        <w:t>二〇二五年二月十日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