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lastRenderedPageBreak/>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w:t>
      </w:r>
      <w:bookmarkStart w:id="0" w:name="_GoBack"/>
      <w:bookmarkEnd w:id="0"/>
      <w:r>
        <w:t>arch, 2020, I entered the Cable/Edge Connection Diagrams</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p>
    <w:p w:rsidR="0018063A" w:rsidRDefault="0018063A" w:rsidP="0018063A">
      <w:pPr>
        <w:pStyle w:val="ListParagraph"/>
        <w:numPr>
          <w:ilvl w:val="0"/>
          <w:numId w:val="3"/>
        </w:numPr>
      </w:pPr>
      <w:r>
        <w:t>Machine (e.g., the 1411 CPU for the IBM 1410)</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230D54" w:rsidRPr="00A46FC7" w:rsidRDefault="00A46FC7" w:rsidP="00A46FC7">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654F16" w:rsidRDefault="00654F16" w:rsidP="00654F16">
      <w:pPr>
        <w:jc w:val="center"/>
      </w:pPr>
      <w:r>
        <w:rPr>
          <w:noProof/>
        </w:rPr>
        <w:drawing>
          <wp:inline distT="0" distB="0" distL="0" distR="0" wp14:anchorId="7F70F6D3" wp14:editId="2BBA0B18">
            <wp:extent cx="43624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3009900"/>
                    </a:xfrm>
                    <a:prstGeom prst="rect">
                      <a:avLst/>
                    </a:prstGeom>
                  </pic:spPr>
                </pic:pic>
              </a:graphicData>
            </a:graphic>
          </wp:inline>
        </w:drawing>
      </w:r>
    </w:p>
    <w:p w:rsidR="007F3F58" w:rsidRDefault="007F3F58"/>
    <w:p w:rsidR="007F3F58" w:rsidRDefault="007F3F58"/>
    <w:p w:rsidR="007F3F58" w:rsidRDefault="007F3F58" w:rsidP="00BC169D">
      <w:pPr>
        <w:jc w:val="center"/>
        <w:rPr>
          <w:b/>
          <w:sz w:val="52"/>
          <w:szCs w:val="52"/>
        </w:rPr>
      </w:pPr>
      <w:r w:rsidRPr="00BC169D">
        <w:rPr>
          <w:b/>
          <w:sz w:val="52"/>
          <w:szCs w:val="52"/>
        </w:rPr>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A46FC7" w:rsidRDefault="00A46FC7" w:rsidP="00A46FC7">
      <w:r>
        <w:t>These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46FC7">
      <w:pPr>
        <w:pStyle w:val="ListParagraph"/>
        <w:numPr>
          <w:ilvl w:val="0"/>
          <w:numId w:val="1"/>
        </w:numPr>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BC169D" w:rsidP="00BC169D">
      <w:pPr>
        <w:jc w:val="center"/>
      </w:pPr>
      <w:r>
        <w:rPr>
          <w:noProof/>
        </w:rPr>
        <w:lastRenderedPageBreak/>
        <w:drawing>
          <wp:inline distT="0" distB="0" distL="0" distR="0" wp14:anchorId="289C5F58" wp14:editId="120289E4">
            <wp:extent cx="40767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6700" cy="4067175"/>
                    </a:xfrm>
                    <a:prstGeom prst="rect">
                      <a:avLst/>
                    </a:prstGeom>
                  </pic:spPr>
                </pic:pic>
              </a:graphicData>
            </a:graphic>
          </wp:inline>
        </w:drawing>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Whether a DOT function performs an actual AND or an OR depends on how the circuits are constructed, and may differ from the logic implied by that trailing letter.  For example, SDTRL “DOT Functions” operate as “OR” gates, using the logic values of +S == 0V and –S == -12V, because SDTRL uses PNP transistors, and when they are on, </w:t>
      </w:r>
      <w:r w:rsidR="000A03CC">
        <w:t>they pull the voltage to 0.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 xml:space="preserve">The part number is used in pull-down lists and the like.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CE7468" w:rsidRDefault="00CE7468" w:rsidP="00403F5B">
      <w:r>
        <w:lastRenderedPageBreak/>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CE7468" w:rsidRDefault="00CE7468" w:rsidP="00403F5B">
      <w:r>
        <w:t>Finally there is the Comp. (component) value column.  Some “gates” are really just single electronic components like load resistors or capacitors.    This column identifies the value of the component (ohms, microfarads, etc.).</w:t>
      </w:r>
    </w:p>
    <w:p w:rsidR="00CE7468" w:rsidRDefault="00CE7468" w:rsidP="00403F5B">
      <w:r>
        <w:br/>
      </w:r>
      <w:r>
        <w:rPr>
          <w:noProof/>
        </w:rPr>
        <w:drawing>
          <wp:inline distT="0" distB="0" distL="0" distR="0" wp14:anchorId="13BA79A1" wp14:editId="73D8C4FD">
            <wp:extent cx="5943600" cy="3327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27400"/>
                    </a:xfrm>
                    <a:prstGeom prst="rect">
                      <a:avLst/>
                    </a:prstGeom>
                  </pic:spPr>
                </pic:pic>
              </a:graphicData>
            </a:graphic>
          </wp:inline>
        </w:drawing>
      </w:r>
    </w:p>
    <w:p w:rsidR="00CE7468" w:rsidRDefault="00CE7468" w:rsidP="00403F5B"/>
    <w:p w:rsidR="00FD2FCA" w:rsidRDefault="00CE7468" w:rsidP="00403F5B">
      <w:pPr>
        <w:jc w:val="center"/>
      </w:pPr>
      <w:r>
        <w:rPr>
          <w:noProof/>
        </w:rPr>
        <w:drawing>
          <wp:inline distT="0" distB="0" distL="0" distR="0" wp14:anchorId="5E0A2441" wp14:editId="461DC5AD">
            <wp:extent cx="5237018" cy="248534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7018" cy="2485345"/>
                    </a:xfrm>
                    <a:prstGeom prst="rect">
                      <a:avLst/>
                    </a:prstGeom>
                  </pic:spPr>
                </pic:pic>
              </a:graphicData>
            </a:graphic>
          </wp:inline>
        </w:drawing>
      </w:r>
    </w:p>
    <w:p w:rsidR="00FD2FCA" w:rsidRDefault="00FD2FCA" w:rsidP="00FD2FCA">
      <w:r>
        <w:lastRenderedPageBreak/>
        <w:t>Each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7661B" w:rsidP="00FD2FCA">
      <w:r>
        <w:rPr>
          <w:noProof/>
        </w:rPr>
        <w:drawing>
          <wp:inline distT="0" distB="0" distL="0" distR="0" wp14:anchorId="7F35658B" wp14:editId="3E8594AF">
            <wp:extent cx="5943600" cy="3068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8320"/>
                    </a:xfrm>
                    <a:prstGeom prst="rect">
                      <a:avLst/>
                    </a:prstGeom>
                  </pic:spPr>
                </pic:pic>
              </a:graphicData>
            </a:graphic>
          </wp:inline>
        </w:drawing>
      </w:r>
    </w:p>
    <w:p w:rsidR="0027661B" w:rsidRDefault="0027661B" w:rsidP="00FD2FCA">
      <w:r>
        <w:rPr>
          <w:noProof/>
        </w:rPr>
        <w:lastRenderedPageBreak/>
        <w:drawing>
          <wp:inline distT="0" distB="0" distL="0" distR="0" wp14:anchorId="25A5DBE9" wp14:editId="66F2476B">
            <wp:extent cx="5943600" cy="3121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121025"/>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969385"/>
                    </a:xfrm>
                    <a:prstGeom prst="rect">
                      <a:avLst/>
                    </a:prstGeom>
                  </pic:spPr>
                </pic:pic>
              </a:graphicData>
            </a:graphic>
          </wp:inline>
        </w:drawing>
      </w:r>
    </w:p>
    <w:p w:rsidR="00BD786B" w:rsidRDefault="00BD786B"/>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p>
    <w:p w:rsidR="0059477F" w:rsidRDefault="0059477F">
      <w:r>
        <w:t xml:space="preserve">While this information was captured on the diagrams, it is not currently validated against the connection pages which show panel to panel connections – indeed, those connection pages are not currently in the database design at present.  Doing so </w:t>
      </w:r>
      <w:proofErr w:type="gramStart"/>
      <w:r>
        <w:t>would allow</w:t>
      </w:r>
      <w:proofErr w:type="gramEnd"/>
      <w:r>
        <w:t xml:space="preserve"> one to validate these physical connections, nor are these connections cross-checked for inconsistencies.  This is an identified “TODO”.</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9F3128" w:rsidP="000D44BA">
      <w:pPr>
        <w:jc w:val="center"/>
      </w:pPr>
      <w:r>
        <w:rPr>
          <w:noProof/>
        </w:rPr>
        <w:lastRenderedPageBreak/>
        <w:drawing>
          <wp:inline distT="0" distB="0" distL="0" distR="0" wp14:anchorId="7C04DA28" wp14:editId="61323753">
            <wp:extent cx="5569527" cy="4543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3812" cy="4547183"/>
                    </a:xfrm>
                    <a:prstGeom prst="rect">
                      <a:avLst/>
                    </a:prstGeom>
                  </pic:spPr>
                </pic:pic>
              </a:graphicData>
            </a:graphic>
          </wp:inline>
        </w:drawing>
      </w:r>
    </w:p>
    <w:p w:rsidR="0059477F" w:rsidRDefault="0059477F" w:rsidP="0059477F">
      <w:pPr>
        <w:jc w:val="center"/>
      </w:pPr>
      <w:r>
        <w:t>Top Level Edit ALD Diagram Page</w:t>
      </w:r>
    </w:p>
    <w:p w:rsidR="0059477F" w:rsidRDefault="0059477F" w:rsidP="0059477F">
      <w:pPr>
        <w:jc w:val="center"/>
      </w:pPr>
      <w:r>
        <w:rPr>
          <w:noProof/>
        </w:rPr>
        <w:drawing>
          <wp:inline distT="0" distB="0" distL="0" distR="0" wp14:anchorId="5E8162A9" wp14:editId="24B2E2BC">
            <wp:extent cx="5379522" cy="25834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79653" cy="2583498"/>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2F5747" w:rsidRDefault="002F5747" w:rsidP="000D44BA"/>
    <w:p w:rsidR="002F5747" w:rsidRDefault="002F5747" w:rsidP="00A46FC7">
      <w:pPr>
        <w:jc w:val="center"/>
      </w:pPr>
      <w:r>
        <w:rPr>
          <w:noProof/>
        </w:rPr>
        <w:lastRenderedPageBreak/>
        <w:drawing>
          <wp:inline distT="0" distB="0" distL="0" distR="0" wp14:anchorId="7A2CFA2F" wp14:editId="2A86DB1B">
            <wp:extent cx="5943600" cy="4274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p>
    <w:p w:rsidR="00343710" w:rsidRDefault="00343710" w:rsidP="00343710">
      <w:r>
        <w:t>Note that connections to the DOT function from a logic block on the same page or to a logic block on the same page cannot be edited here.  Instead</w:t>
      </w:r>
      <w:proofErr w:type="gramStart"/>
      <w:r>
        <w:t>,  such</w:t>
      </w:r>
      <w:proofErr w:type="gramEnd"/>
      <w:r>
        <w:t xml:space="preserve">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8635F6" w:rsidP="00A46FC7">
      <w:pPr>
        <w:jc w:val="center"/>
      </w:pPr>
      <w:r>
        <w:rPr>
          <w:noProof/>
        </w:rPr>
        <w:drawing>
          <wp:inline distT="0" distB="0" distL="0" distR="0" wp14:anchorId="3A1BC3E3" wp14:editId="5636C15E">
            <wp:extent cx="5943600" cy="406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064000"/>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651E34" w:rsidP="00494F3D">
      <w:pPr>
        <w:jc w:val="center"/>
      </w:pPr>
      <w:r>
        <w:rPr>
          <w:noProof/>
        </w:rPr>
        <w:drawing>
          <wp:inline distT="0" distB="0" distL="0" distR="0" wp14:anchorId="0DA50E31" wp14:editId="101E1584">
            <wp:extent cx="4880758" cy="371345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01216" cy="3729016"/>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 xml:space="preserve">Editing </w:t>
      </w:r>
      <w:r>
        <w:rPr>
          <w:sz w:val="48"/>
          <w:szCs w:val="48"/>
        </w:rPr>
        <w:t>Cable/Edge</w:t>
      </w:r>
      <w:r>
        <w:rPr>
          <w:sz w:val="48"/>
          <w:szCs w:val="48"/>
        </w:rPr>
        <w:t xml:space="preserve"> Connections</w:t>
      </w:r>
    </w:p>
    <w:p w:rsidR="00520C1C" w:rsidRDefault="00E13698">
      <w:r>
        <w:t>The Cable/Edge Connection dialogs are similar in hierarchy to the ALD Diagram pages, but a bit simpler.</w:t>
      </w:r>
    </w:p>
    <w:p w:rsidR="007379E0" w:rsidRDefault="007379E0" w:rsidP="007379E0">
      <w:r>
        <w:t>The top of the Cable/Edge connection</w:t>
      </w:r>
      <w:r>
        <w:t xml:space="preserve"> diagram hierarchy is the </w:t>
      </w:r>
      <w:proofErr w:type="spellStart"/>
      <w:r>
        <w:t>Cabl</w:t>
      </w:r>
      <w:proofErr w:type="spellEnd"/>
      <w:r>
        <w:t xml:space="preserve">/Edge Connection </w:t>
      </w:r>
      <w:r>
        <w:t xml:space="preserve">page, which is accessed via Edit =&gt; </w:t>
      </w:r>
      <w:r>
        <w:t xml:space="preserve">Cable/Edge Connection </w:t>
      </w:r>
      <w:r>
        <w:t>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 xml:space="preserve">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database.  </w:t>
      </w:r>
      <w:proofErr w:type="gramStart"/>
      <w:r>
        <w:t xml:space="preserve">(Having the </w:t>
      </w:r>
      <w:proofErr w:type="spellStart"/>
      <w:r>
        <w:t>applicatino</w:t>
      </w:r>
      <w:proofErr w:type="spellEnd"/>
      <w:r>
        <w:t xml:space="preserve"> fill that in during the first editing of the destination proved tricky enough that I didn’t bother doing that.)</w:t>
      </w:r>
      <w:proofErr w:type="gramEnd"/>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CA60CB" w:rsidP="00FD0D4A">
      <w:r>
        <w:rPr>
          <w:noProof/>
        </w:rPr>
        <w:drawing>
          <wp:inline distT="0" distB="0" distL="0" distR="0" wp14:anchorId="1DDED91D" wp14:editId="093BE8E2">
            <wp:extent cx="5225143" cy="4438278"/>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25488" cy="4438571"/>
                    </a:xfrm>
                    <a:prstGeom prst="rect">
                      <a:avLst/>
                    </a:prstGeom>
                  </pic:spPr>
                </pic:pic>
              </a:graphicData>
            </a:graphic>
          </wp:inline>
        </w:drawing>
      </w:r>
    </w:p>
    <w:p w:rsidR="00366E1A" w:rsidRDefault="00CA60CB" w:rsidP="00CA60CB">
      <w:pPr>
        <w:jc w:val="center"/>
      </w:pPr>
      <w:r>
        <w:t>The Edit Cable / Edge Connection Block Dialog</w:t>
      </w:r>
    </w:p>
    <w:p w:rsidR="005F5588" w:rsidRDefault="003C56C8" w:rsidP="005F5588">
      <w:r>
        <w:rPr>
          <w:noProof/>
        </w:rPr>
        <w:lastRenderedPageBreak/>
        <w:drawing>
          <wp:inline distT="0" distB="0" distL="0" distR="0">
            <wp:extent cx="4512310" cy="41325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2310" cy="4132580"/>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3C56C8" w:rsidRDefault="003C56C8">
      <w:pPr>
        <w:rPr>
          <w:b/>
          <w:sz w:val="52"/>
          <w:szCs w:val="52"/>
        </w:rPr>
      </w:pPr>
      <w:r>
        <w:rPr>
          <w:b/>
          <w:sz w:val="52"/>
          <w:szCs w:val="52"/>
        </w:rPr>
        <w:br w:type="page"/>
      </w:r>
    </w:p>
    <w:p w:rsidR="00520C1C" w:rsidRPr="00520C1C" w:rsidRDefault="00520C1C" w:rsidP="008635F6">
      <w:pPr>
        <w:jc w:val="center"/>
        <w:rPr>
          <w:b/>
          <w:sz w:val="52"/>
          <w:szCs w:val="52"/>
        </w:rPr>
      </w:pPr>
      <w:r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Pr="0089434B" w:rsidRDefault="0089434B" w:rsidP="0089434B">
      <w:pPr>
        <w:pStyle w:val="ListParagraph"/>
        <w:ind w:left="0"/>
      </w:pPr>
      <w:r>
        <w:t>Currently only one report exists – the Card Type Usage Report, which creates a report of every ALD page on which a particular card type appears, its coordinates, its levels (In and Out) and its pins, as an aid to locating errors.</w:t>
      </w:r>
    </w:p>
    <w:sectPr w:rsidR="0089434B"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6"/>
  </w:num>
  <w:num w:numId="6">
    <w:abstractNumId w:val="5"/>
  </w:num>
  <w:num w:numId="7">
    <w:abstractNumId w:val="8"/>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A03CC"/>
    <w:rsid w:val="000B27BB"/>
    <w:rsid w:val="000D44BA"/>
    <w:rsid w:val="00125781"/>
    <w:rsid w:val="0018063A"/>
    <w:rsid w:val="001B1FD6"/>
    <w:rsid w:val="001C7BAA"/>
    <w:rsid w:val="0022584B"/>
    <w:rsid w:val="00230D54"/>
    <w:rsid w:val="0027661B"/>
    <w:rsid w:val="002C46F8"/>
    <w:rsid w:val="002D3E34"/>
    <w:rsid w:val="002F5747"/>
    <w:rsid w:val="00343710"/>
    <w:rsid w:val="00351CF3"/>
    <w:rsid w:val="003603D2"/>
    <w:rsid w:val="00366E1A"/>
    <w:rsid w:val="0038500D"/>
    <w:rsid w:val="003C108C"/>
    <w:rsid w:val="003C56C8"/>
    <w:rsid w:val="003D2D05"/>
    <w:rsid w:val="00403F5B"/>
    <w:rsid w:val="00494F3D"/>
    <w:rsid w:val="004A6FD4"/>
    <w:rsid w:val="004B05F8"/>
    <w:rsid w:val="004B3E0F"/>
    <w:rsid w:val="004E76B0"/>
    <w:rsid w:val="00520C1C"/>
    <w:rsid w:val="00574D99"/>
    <w:rsid w:val="00591BF1"/>
    <w:rsid w:val="0059477F"/>
    <w:rsid w:val="005F1C0A"/>
    <w:rsid w:val="005F5588"/>
    <w:rsid w:val="005F7063"/>
    <w:rsid w:val="00651E34"/>
    <w:rsid w:val="00654F16"/>
    <w:rsid w:val="00677467"/>
    <w:rsid w:val="006D5669"/>
    <w:rsid w:val="006F3CDE"/>
    <w:rsid w:val="007379E0"/>
    <w:rsid w:val="007D56FA"/>
    <w:rsid w:val="007F3F58"/>
    <w:rsid w:val="00836B31"/>
    <w:rsid w:val="008529FC"/>
    <w:rsid w:val="00856610"/>
    <w:rsid w:val="008635F6"/>
    <w:rsid w:val="0089434B"/>
    <w:rsid w:val="009F3128"/>
    <w:rsid w:val="00A46FC7"/>
    <w:rsid w:val="00A60F08"/>
    <w:rsid w:val="00A90B66"/>
    <w:rsid w:val="00B021C7"/>
    <w:rsid w:val="00B1300A"/>
    <w:rsid w:val="00BC169D"/>
    <w:rsid w:val="00BD1200"/>
    <w:rsid w:val="00BD786B"/>
    <w:rsid w:val="00C143C3"/>
    <w:rsid w:val="00CA60CB"/>
    <w:rsid w:val="00CD3CA0"/>
    <w:rsid w:val="00CE5F18"/>
    <w:rsid w:val="00CE7468"/>
    <w:rsid w:val="00D3594B"/>
    <w:rsid w:val="00D6043E"/>
    <w:rsid w:val="00D736A0"/>
    <w:rsid w:val="00D90700"/>
    <w:rsid w:val="00E13698"/>
    <w:rsid w:val="00E87C29"/>
    <w:rsid w:val="00EA1F5D"/>
    <w:rsid w:val="00F2423E"/>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E281-8060-4C56-835A-C3BDCD4D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45</Pages>
  <Words>7079</Words>
  <Characters>40353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40</cp:revision>
  <dcterms:created xsi:type="dcterms:W3CDTF">2018-05-13T22:48:00Z</dcterms:created>
  <dcterms:modified xsi:type="dcterms:W3CDTF">2020-03-25T22:51:00Z</dcterms:modified>
</cp:coreProperties>
</file>