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ab/>
        <w:tab/>
        <w:tab/>
        <w:tab/>
        <w:tab/>
      </w:r>
      <w:r w:rsidDel="00000000" w:rsidR="00000000" w:rsidRPr="00000000">
        <w:rPr>
          <w:b w:val="1"/>
          <w:sz w:val="56"/>
          <w:szCs w:val="56"/>
        </w:rPr>
        <w:drawing>
          <wp:inline distB="0" distT="0" distL="0" distR="0">
            <wp:extent cx="1693036" cy="1140337"/>
            <wp:effectExtent b="0" l="0" r="0" t="0"/>
            <wp:docPr descr="A logo for a company&#10;&#10;Description automatically generated" id="8" name="image1.jpg"/>
            <a:graphic>
              <a:graphicData uri="http://schemas.openxmlformats.org/drawingml/2006/picture">
                <pic:pic>
                  <pic:nvPicPr>
                    <pic:cNvPr descr="A logo for a company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9778" l="7791" r="7075" t="29948"/>
                    <a:stretch>
                      <a:fillRect/>
                    </a:stretch>
                  </pic:blipFill>
                  <pic:spPr>
                    <a:xfrm>
                      <a:off x="0" y="0"/>
                      <a:ext cx="1693036" cy="1140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Non-Compete Agreement (NCA) for employees or interns at CubeAISolutions Tech Pvt Ltd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Definition of Restricted Activities: Working for a competitor or starting a similar business on similar work requires written communication from the CFO and CHRO of CubeAISolutions.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-The NCA will be in effect for 2 years after the employment or internship ends.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 Information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Emphasizes the importance of protecting confidential and proprietary information of CubeAISolutions Tech Pvt Ltd.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Non-Solicitation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Includes clauses that prevent the employee or intern from soliciting clients, customers, or other employees of CubeAISolutions.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Consequences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There will be legal consequences for breaching the NCA, including potential damages and legal actions.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Employees or interns must strictly acknowledge and agree to the terms of the NCA.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any part of the NCA is found to be invalid, the remaining parts will still be enforceable.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Governing Law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NCA clauses will be governed by the laws of Tamil Nadu, India, and jurisdiction for any disputes arising from the NCA.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Signature Ashwin S</w:t>
      </w:r>
    </w:p>
    <w:p w:rsidR="00000000" w:rsidDel="00000000" w:rsidP="00000000" w:rsidRDefault="00000000" w:rsidRPr="00000000" w14:paraId="00000010">
      <w:pPr>
        <w:spacing w:line="48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Date: 29.3.2025</w:t>
      </w:r>
    </w:p>
    <w:p w:rsidR="00000000" w:rsidDel="00000000" w:rsidP="00000000" w:rsidRDefault="00000000" w:rsidRPr="00000000" w14:paraId="00000011">
      <w:pPr>
        <w:spacing w:line="48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Time: 10:00 AM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56"/>
        <w:szCs w:val="56"/>
        <w:u w:val="none"/>
        <w:shd w:fill="auto" w:val="clear"/>
        <w:vertAlign w:val="baseline"/>
        <w:rtl w:val="0"/>
      </w:rPr>
      <w:tab/>
      <w:tab/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1589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15890"/>
  </w:style>
  <w:style w:type="paragraph" w:styleId="Footer">
    <w:name w:val="footer"/>
    <w:basedOn w:val="Normal"/>
    <w:link w:val="FooterChar"/>
    <w:uiPriority w:val="99"/>
    <w:unhideWhenUsed w:val="1"/>
    <w:rsid w:val="0071589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15890"/>
  </w:style>
  <w:style w:type="paragraph" w:styleId="ListParagraph">
    <w:name w:val="List Paragraph"/>
    <w:basedOn w:val="Normal"/>
    <w:uiPriority w:val="34"/>
    <w:qFormat w:val="1"/>
    <w:rsid w:val="006F41C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0hNVNrhNVS/HWaY1c0lm6Xlv8A==">CgMxLjAyCGguZ2pkZ3hzOAByITExaTF4TmhzVkVEQ3I5eDdYdGcyQ3pzNUxmTG1SY05aYg==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2025-01-24T11:40:00Z</dcterms:created>
  <dc:creator>Lenovo</dc:creator>
</cp:coreProperties>
</file>