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tbl>
      <w:tblPr>
        <w:tblW w:w="8784" w:type="dxa"/>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784"/>
      </w:tblGrid>
      <w:tr>
        <w:trPr>
          <w:trHeight w:val="510" w:hRule="atLeast"/>
        </w:trPr>
        <w:tc>
          <w:tcPr>
            <w:tcW w:w="8784" w:type="dxa"/>
            <w:tcMar>
              <w:top w:w="100" w:type="dxa"/>
              <w:left w:w="100" w:type="dxa"/>
              <w:bottom w:w="100" w:type="dxa"/>
              <w:right w:w="100" w:type="dxa"/>
            </w:tcMar>
            <w:vAlign w:val="center"/>
          </w:tcPr>
          <w:p>
            <w:pPr>
              <w:spacing w:before="0" w:after="0" w:line="240" w:lineRule="auto"/>
              <w:jc w:val="center"/>
              <w:rPr>
                <w:rFonts w:ascii="Arial" w:hAnsi="Arial" w:cs="Arial"/>
                <w:b/>
                <w:sz w:val="24"/>
              </w:rPr>
            </w:pPr>
            <w:r>
              <w:rPr>
                <w:rFonts w:ascii="Arial" w:hAnsi="Arial" w:cs="Arial"/>
                <w:b/>
                <w:sz w:val="24"/>
              </w:rPr>
              <w:t xml:space="preserve">IDENTIFICAÇÃO DO PROCESSO</w:t>
            </w:r>
          </w:p>
        </w:tc>
      </w:tr>
    </w:tbl>
    <w:p>
      <w:pPr>
        <w:spacing w:before="0" w:after="0" w:line="276" w:lineRule="auto"/>
      </w:pPr>
    </w:p>
    <w:p>
      <w:pPr>
        <w:spacing w:before="60" w:after="60" w:line="276" w:lineRule="auto"/>
        <w:jc w:val="left"/>
        <w:rPr>
          <w:rFonts w:ascii="Arial" w:hAnsi="Arial" w:cs="Arial"/>
          <w:sz w:val="22"/>
        </w:rPr>
      </w:pPr>
      <w:r>
        <w:rPr>
          <w:rFonts w:ascii="Arial" w:hAnsi="Arial" w:cs="Arial"/>
          <w:b/>
          <w:sz w:val="22"/>
        </w:rPr>
        <w:t xml:space="preserve">PROCESSO TCE-PE Nº </w:t>
      </w:r>
      <w:r>
        <w:rPr>
          <w:rFonts w:ascii="Arial" w:hAnsi="Arial" w:cs="Arial"/>
          <w:sz w:val="22"/>
        </w:rPr>
        <w:t xml:space="preserve">20100698-4</w:t>
      </w:r>
    </w:p>
    <w:p>
      <w:pPr>
        <w:spacing w:before="60" w:after="60" w:line="276" w:lineRule="auto"/>
        <w:jc w:val="left"/>
        <w:rPr>
          <w:rFonts w:ascii="Arial" w:hAnsi="Arial" w:cs="Arial"/>
          <w:sz w:val="22"/>
        </w:rPr>
      </w:pPr>
      <w:r>
        <w:rPr>
          <w:rFonts w:ascii="Arial" w:hAnsi="Arial" w:cs="Arial"/>
          <w:b/>
          <w:sz w:val="22"/>
        </w:rPr>
        <w:t xml:space="preserve">RELATOR: </w:t>
      </w:r>
      <w:r>
        <w:rPr>
          <w:rFonts w:ascii="Arial" w:hAnsi="Arial" w:cs="Arial"/>
          <w:sz w:val="22"/>
        </w:rPr>
        <w:t xml:space="preserve">Conselheiro(a) Andressa Cordeiro</w:t>
      </w:r>
    </w:p>
    <w:p>
      <w:pPr>
        <w:spacing w:before="60" w:after="60" w:line="276" w:lineRule="auto"/>
        <w:jc w:val="left"/>
        <w:rPr>
          <w:rFonts w:ascii="Arial" w:hAnsi="Arial" w:cs="Arial"/>
          <w:sz w:val="22"/>
        </w:rPr>
      </w:pPr>
      <w:r>
        <w:rPr>
          <w:rFonts w:ascii="Arial" w:hAnsi="Arial" w:cs="Arial"/>
          <w:b/>
          <w:sz w:val="22"/>
        </w:rPr>
        <w:t xml:space="preserve">MODALIDADE - TIPO: </w:t>
      </w:r>
      <w:r>
        <w:rPr>
          <w:rFonts w:ascii="Arial" w:hAnsi="Arial" w:cs="Arial"/>
          <w:sz w:val="22"/>
        </w:rPr>
        <w:t xml:space="preserve">Auditoria Especial - Conformidade</w:t>
      </w:r>
    </w:p>
    <w:p>
      <w:pPr>
        <w:spacing w:before="60" w:after="60" w:line="276" w:lineRule="auto"/>
        <w:jc w:val="left"/>
        <w:rPr>
          <w:rFonts w:ascii="Arial" w:hAnsi="Arial" w:cs="Arial"/>
          <w:sz w:val="22"/>
        </w:rPr>
      </w:pPr>
      <w:r>
        <w:rPr>
          <w:rFonts w:ascii="Arial" w:hAnsi="Arial" w:cs="Arial"/>
          <w:b/>
          <w:sz w:val="22"/>
        </w:rPr>
        <w:t xml:space="preserve">EXERCÍCIO: </w:t>
      </w:r>
      <w:r>
        <w:rPr>
          <w:rFonts w:ascii="Arial" w:hAnsi="Arial" w:cs="Arial"/>
          <w:sz w:val="22"/>
        </w:rPr>
        <w:t xml:space="preserve">2020</w:t>
      </w:r>
    </w:p>
    <w:p>
      <w:pPr>
        <w:spacing w:before="60" w:after="60" w:line="276" w:lineRule="auto"/>
        <w:jc w:val="left"/>
        <w:rPr>
          <w:rFonts w:ascii="Arial" w:hAnsi="Arial" w:cs="Arial"/>
          <w:sz w:val="22"/>
        </w:rPr>
      </w:pPr>
      <w:r>
        <w:rPr>
          <w:rFonts w:ascii="Arial" w:hAnsi="Arial" w:cs="Arial"/>
          <w:b/>
          <w:sz w:val="22"/>
        </w:rPr>
        <w:t xml:space="preserve">UNIDADE(S) JURISDICIONADA(S): </w:t>
      </w:r>
      <w:r>
        <w:rPr>
          <w:rFonts w:ascii="Arial" w:hAnsi="Arial" w:cs="Arial"/>
          <w:sz w:val="22"/>
        </w:rPr>
        <w:t xml:space="preserve">PREFEITURA MUNICIPAL DE BONITO</w:t>
      </w:r>
    </w:p>
    <w:p>
      <w:pPr>
        <w:spacing w:before="60" w:after="60" w:line="276" w:lineRule="auto"/>
        <w:jc w:val="left"/>
        <w:rPr>
          <w:rFonts w:ascii="Arial" w:hAnsi="Arial" w:cs="Arial"/>
          <w:b/>
          <w:sz w:val="22"/>
        </w:rPr>
      </w:pPr>
      <w:r>
        <w:rPr>
          <w:rFonts w:ascii="Arial" w:hAnsi="Arial" w:cs="Arial"/>
          <w:b/>
          <w:sz w:val="22"/>
        </w:rPr>
        <w:t xml:space="preserve">INTERESSADOS:</w:t>
      </w:r>
    </w:p>
    <w:p>
      <w:pPr>
        <w:spacing w:before="0" w:after="120" w:line="276" w:lineRule="auto"/>
        <w:jc w:val="both"/>
        <w:rPr>
          <w:rFonts w:ascii="Arial" w:hAnsi="Arial" w:cs="Arial"/>
          <w:sz w:val="22"/>
        </w:rPr>
      </w:pPr>
      <w:r>
        <w:rPr>
          <w:rFonts w:ascii="Arial" w:hAnsi="Arial" w:cs="Arial"/>
          <w:sz w:val="22"/>
        </w:rPr>
        <w:t xml:space="preserve">Gustavo Adolfo Neves de Albuquerque Cesar, Benício José Cavalcanti Ferreira, José Valdir da Silva, Wilson Lourenço dos Santos, Augusto Victor Silva Campos, Xavante Aluguéis de Máquinas Ltda - EPP</w:t>
      </w:r>
    </w:p>
    <w:p>
      <w:pPr>
        <w:spacing w:before="0" w:after="0" w:line="276" w:lineRule="auto"/>
      </w:pPr>
    </w:p>
    <w:tbl>
      <w:tblPr>
        <w:tblW w:w="8784" w:type="dxa"/>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784"/>
      </w:tblGrid>
      <w:tr>
        <w:trPr>
          <w:trHeight w:val="510" w:hRule="atLeast"/>
        </w:trPr>
        <w:tc>
          <w:tcPr>
            <w:tcW w:w="8784" w:type="dxa"/>
            <w:tcMar>
              <w:top w:w="100" w:type="dxa"/>
              <w:left w:w="100" w:type="dxa"/>
              <w:bottom w:w="100" w:type="dxa"/>
              <w:right w:w="100" w:type="dxa"/>
            </w:tcMar>
            <w:vAlign w:val="center"/>
          </w:tcPr>
          <w:p>
            <w:pPr>
              <w:spacing w:before="0" w:after="0" w:line="240" w:lineRule="auto"/>
              <w:jc w:val="center"/>
              <w:rPr>
                <w:rFonts w:ascii="Arial" w:hAnsi="Arial" w:cs="Arial"/>
                <w:b/>
                <w:sz w:val="24"/>
              </w:rPr>
            </w:pPr>
            <w:r>
              <w:rPr>
                <w:rFonts w:ascii="Arial" w:hAnsi="Arial" w:cs="Arial"/>
                <w:b/>
                <w:sz w:val="24"/>
              </w:rPr>
              <w:t xml:space="preserve">EMENTA</w:t>
            </w:r>
          </w:p>
        </w:tc>
      </w:tr>
    </w:tbl>
    <w:p>
      <w:pPr>
        <w:spacing w:before="0" w:after="120" w:line="276" w:lineRule="auto"/>
        <w:ind w:left="3968"/>
        <w:jc w:val="both"/>
      </w:pPr>
      <w:r>
        <w:rPr>
          <w:rFonts w:ascii="Arial" w:hAnsi="Arial" w:cs="Arial"/>
          <w:sz w:val="22"/>
          <w:szCs w:val="22"/>
        </w:rPr>
        <w:t xml:space="preserve">AUDITORIA ESPECIAL. PREFEITURA MUNICIPAL DE BONITO. EXERCÍCIO 2020. CONTRATAÇÃO DIRETA. DISPENSA DE LICITAÇÃO PARA SERVIÇOS DE TERRAPLENAGEM. SITUAÇÃO EMERGENCIAL COM JUSTIFICATIVAS INSUFICIENTES. PROJETO BÁSICO DEFICIENTE. FALHAS NA FISCALIZAÇÃO. REGULARIDADE COM RESSALVAS.</w:t>
      </w:r>
    </w:p>
    <w:p>
      <w:pPr>
        <w:spacing w:before="0" w:after="0" w:line="240" w:lineRule="auto"/>
      </w:pPr>
    </w:p>
    <w:p>
      <w:pPr>
        <w:spacing w:before="0" w:after="120" w:line="276" w:lineRule="auto"/>
        <w:ind w:left="3968"/>
        <w:jc w:val="both"/>
      </w:pPr>
      <w:r>
        <w:rPr>
          <w:rFonts w:ascii="Arial" w:hAnsi="Arial" w:cs="Arial"/>
          <w:sz w:val="22"/>
          <w:szCs w:val="22"/>
        </w:rPr>
        <w:t xml:space="preserve">1. A urgência decorrente de cronograma privado não configura, por si só, a hipótese do art. 24, IV, da Lei 8.666/93.</w:t>
      </w:r>
    </w:p>
    <w:p>
      <w:pPr>
        <w:spacing w:before="0" w:after="0" w:line="240" w:lineRule="auto"/>
      </w:pPr>
    </w:p>
    <w:p>
      <w:pPr>
        <w:spacing w:before="0" w:after="120" w:line="276" w:lineRule="auto"/>
        <w:ind w:left="3968"/>
        <w:jc w:val="both"/>
      </w:pPr>
      <w:r>
        <w:rPr>
          <w:rFonts w:ascii="Arial" w:hAnsi="Arial" w:cs="Arial"/>
          <w:sz w:val="22"/>
          <w:szCs w:val="22"/>
        </w:rPr>
        <w:t xml:space="preserve">2. Reincidência na elaboração de projeto básico insuficiente caracteriza falha procedimental grave que enseja ressalva.</w:t>
      </w:r>
    </w:p>
    <w:p>
      <w:pPr>
        <w:spacing w:before="0" w:after="0" w:line="240" w:lineRule="auto"/>
      </w:pPr>
    </w:p>
    <w:p>
      <w:pPr>
        <w:spacing w:before="0" w:after="120" w:line="276" w:lineRule="auto"/>
        <w:ind w:left="3968"/>
        <w:jc w:val="both"/>
      </w:pPr>
      <w:r>
        <w:rPr>
          <w:rFonts w:ascii="Arial" w:hAnsi="Arial" w:cs="Arial"/>
          <w:sz w:val="22"/>
          <w:szCs w:val="22"/>
        </w:rPr>
        <w:t xml:space="preserve">3. A ausência de boletim de medição definitivo, somada a "atesto" sem identificação na nota fiscal, fragiliza a liquidação da despesa.</w:t>
      </w:r>
    </w:p>
    <w:p>
      <w:pPr>
        <w:spacing w:before="0" w:after="0" w:line="240" w:lineRule="auto"/>
      </w:pPr>
    </w:p>
    <w:p>
      <w:pPr>
        <w:spacing w:before="0" w:after="0" w:line="276" w:lineRule="auto"/>
      </w:pPr>
    </w:p>
    <w:tbl>
      <w:tblPr>
        <w:tblW w:w="8784" w:type="dxa"/>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784"/>
      </w:tblGrid>
      <w:tr>
        <w:trPr>
          <w:trHeight w:val="510" w:hRule="atLeast"/>
        </w:trPr>
        <w:tc>
          <w:tcPr>
            <w:tcW w:w="8784" w:type="dxa"/>
            <w:tcMar>
              <w:top w:w="100" w:type="dxa"/>
              <w:left w:w="100" w:type="dxa"/>
              <w:bottom w:w="100" w:type="dxa"/>
              <w:right w:w="100" w:type="dxa"/>
            </w:tcMar>
            <w:vAlign w:val="center"/>
          </w:tcPr>
          <w:p>
            <w:pPr>
              <w:spacing w:before="0" w:after="0" w:line="240" w:lineRule="auto"/>
              <w:jc w:val="center"/>
              <w:rPr>
                <w:rFonts w:ascii="Arial" w:hAnsi="Arial" w:cs="Arial"/>
                <w:b/>
                <w:sz w:val="24"/>
              </w:rPr>
            </w:pPr>
            <w:r>
              <w:rPr>
                <w:rFonts w:ascii="Arial" w:hAnsi="Arial" w:cs="Arial"/>
                <w:b/>
                <w:sz w:val="24"/>
              </w:rPr>
              <w:t xml:space="preserve">DESCRIÇÃO DO OBJETO</w:t>
            </w:r>
          </w:p>
        </w:tc>
      </w:tr>
    </w:tbl>
    <w:p>
      <w:pPr>
        <w:spacing w:before="0" w:after="120" w:line="276" w:lineRule="auto"/>
        <w:jc w:val="both"/>
      </w:pPr>
      <w:r>
        <w:rPr>
          <w:rFonts w:ascii="Arial" w:hAnsi="Arial" w:cs="Arial"/>
          <w:sz w:val="22"/>
          <w:szCs w:val="22"/>
        </w:rPr>
        <w:t xml:space="preserve">Avaliar a regularidade e a economicidade das despesas do contrato decorrente da Dispensa de Licitação nº 001/2020, para a contratação de serviços de terraplenagem destinados à implantação de uma fábrica automotiva.</w:t>
      </w:r>
    </w:p>
    <w:p>
      <w:pPr>
        <w:spacing w:before="0" w:after="0" w:line="240" w:lineRule="auto"/>
      </w:pPr>
    </w:p>
    <w:p>
      <w:pPr>
        <w:spacing w:before="0" w:after="0" w:line="276" w:lineRule="auto"/>
      </w:pPr>
    </w:p>
    <w:tbl>
      <w:tblPr>
        <w:tblW w:w="8784" w:type="dxa"/>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784"/>
      </w:tblGrid>
      <w:tr>
        <w:trPr>
          <w:trHeight w:val="510" w:hRule="atLeast"/>
        </w:trPr>
        <w:tc>
          <w:tcPr>
            <w:tcW w:w="8784" w:type="dxa"/>
            <w:tcMar>
              <w:top w:w="100" w:type="dxa"/>
              <w:left w:w="100" w:type="dxa"/>
              <w:bottom w:w="100" w:type="dxa"/>
              <w:right w:w="100" w:type="dxa"/>
            </w:tcMar>
            <w:vAlign w:val="center"/>
          </w:tcPr>
          <w:p>
            <w:pPr>
              <w:spacing w:before="0" w:after="0" w:line="240" w:lineRule="auto"/>
              <w:jc w:val="center"/>
              <w:rPr>
                <w:rFonts w:ascii="Arial" w:hAnsi="Arial" w:cs="Arial"/>
                <w:b/>
                <w:sz w:val="24"/>
              </w:rPr>
            </w:pPr>
            <w:r>
              <w:rPr>
                <w:rFonts w:ascii="Arial" w:hAnsi="Arial" w:cs="Arial"/>
                <w:b/>
                <w:sz w:val="24"/>
              </w:rPr>
              <w:t xml:space="preserve">RELATÓRIO</w:t>
            </w:r>
          </w:p>
        </w:tc>
      </w:tr>
    </w:tbl>
    <w:p>
      <w:pPr>
        <w:spacing w:before="0" w:after="120" w:line="276" w:lineRule="auto"/>
        <w:jc w:val="both"/>
      </w:pPr>
      <w:r>
        <w:rPr>
          <w:rFonts w:ascii="Arial" w:hAnsi="Arial" w:cs="Arial"/>
          <w:sz w:val="22"/>
          <w:szCs w:val="22"/>
        </w:rPr>
        <w:t xml:space="preserve">Dentre outros documentos que integram os autos, destacam-se:</w:t>
      </w:r>
    </w:p>
    <w:p>
      <w:pPr>
        <w:spacing w:before="0" w:after="0" w:line="240" w:lineRule="auto"/>
      </w:pPr>
    </w:p>
    <w:p>
      <w:pPr>
        <w:spacing w:before="0" w:after="120" w:line="276" w:lineRule="auto"/>
        <w:jc w:val="both"/>
      </w:pPr>
      <w:r>
        <w:rPr>
          <w:rFonts w:ascii="Arial" w:hAnsi="Arial" w:cs="Arial"/>
          <w:sz w:val="22"/>
          <w:szCs w:val="22"/>
        </w:rPr>
        <w:t xml:space="preserve">a) o relatório de Auditoria (doc. 56);</w:t>
      </w:r>
    </w:p>
    <w:p>
      <w:pPr>
        <w:spacing w:before="0" w:after="0" w:line="240" w:lineRule="auto"/>
      </w:pPr>
    </w:p>
    <w:p>
      <w:pPr>
        <w:spacing w:before="0" w:after="120" w:line="276" w:lineRule="auto"/>
        <w:jc w:val="both"/>
      </w:pPr>
      <w:r>
        <w:rPr>
          <w:rFonts w:ascii="Arial" w:hAnsi="Arial" w:cs="Arial"/>
          <w:sz w:val="22"/>
          <w:szCs w:val="22"/>
        </w:rPr>
        <w:t xml:space="preserve">b) as notificações dos interessados (docs. 56 a 128);</w:t>
      </w:r>
    </w:p>
    <w:p>
      <w:pPr>
        <w:spacing w:before="0" w:after="0" w:line="240" w:lineRule="auto"/>
      </w:pPr>
    </w:p>
    <w:p>
      <w:pPr>
        <w:spacing w:before="0" w:after="120" w:line="276" w:lineRule="auto"/>
        <w:jc w:val="both"/>
      </w:pPr>
      <w:r>
        <w:rPr>
          <w:rFonts w:ascii="Arial" w:hAnsi="Arial" w:cs="Arial"/>
          <w:sz w:val="22"/>
          <w:szCs w:val="22"/>
        </w:rPr>
        <w:t xml:space="preserve">c) as defesas prévias (docs. 13, 143, 145 a 175).</w:t>
      </w:r>
    </w:p>
    <w:p>
      <w:pPr>
        <w:spacing w:before="0" w:after="0" w:line="240" w:lineRule="auto"/>
      </w:pPr>
    </w:p>
    <w:p>
      <w:pPr>
        <w:spacing w:before="0" w:after="120" w:line="276" w:lineRule="auto"/>
        <w:jc w:val="both"/>
      </w:pPr>
      <w:r>
        <w:rPr>
          <w:rFonts w:ascii="Arial" w:hAnsi="Arial" w:cs="Arial"/>
          <w:sz w:val="22"/>
          <w:szCs w:val="22"/>
        </w:rPr>
        <w:t xml:space="preserve">Após carrear aos autos vasta documentação, a auditoria emitiu, em 12/02/2025, o relatório apontando a ocorrência de cinco irregularidades.</w:t>
      </w:r>
    </w:p>
    <w:p>
      <w:pPr>
        <w:spacing w:before="0" w:after="0" w:line="240" w:lineRule="auto"/>
      </w:pPr>
    </w:p>
    <w:p>
      <w:pPr>
        <w:spacing w:before="0" w:after="120" w:line="276" w:lineRule="auto"/>
        <w:jc w:val="both"/>
      </w:pPr>
      <w:r>
        <w:rPr>
          <w:rFonts w:ascii="Arial" w:hAnsi="Arial" w:cs="Arial"/>
          <w:sz w:val="22"/>
          <w:szCs w:val="22"/>
        </w:rPr>
        <w:t xml:space="preserve">Dentre os notificados, todos apresentaram defesa.</w:t>
      </w:r>
    </w:p>
    <w:p>
      <w:pPr>
        <w:spacing w:before="0" w:after="0" w:line="240" w:lineRule="auto"/>
      </w:pPr>
    </w:p>
    <w:p>
      <w:pPr>
        <w:spacing w:before="0" w:after="120" w:line="276" w:lineRule="auto"/>
        <w:jc w:val="both"/>
      </w:pPr>
      <w:r>
        <w:rPr>
          <w:rFonts w:ascii="Arial" w:hAnsi="Arial" w:cs="Arial"/>
          <w:sz w:val="22"/>
          <w:szCs w:val="22"/>
        </w:rPr>
        <w:t xml:space="preserve">Vieram-me os autos para julgamento.</w:t>
      </w:r>
    </w:p>
    <w:p>
      <w:pPr>
        <w:spacing w:before="0" w:after="0" w:line="240" w:lineRule="auto"/>
      </w:pPr>
    </w:p>
    <w:p>
      <w:pPr>
        <w:spacing w:before="240" w:after="120" w:line="276" w:lineRule="auto"/>
        <w:jc w:val="right"/>
        <w:rPr>
          <w:rFonts w:ascii="Arial" w:hAnsi="Arial" w:cs="Arial"/>
          <w:sz w:val="22"/>
        </w:rPr>
      </w:pPr>
      <w:r>
        <w:rPr>
          <w:rFonts w:ascii="Arial" w:hAnsi="Arial" w:cs="Arial"/>
          <w:sz w:val="22"/>
        </w:rPr>
        <w:t>É o relatório.</w:t>
      </w:r>
    </w:p>
    <w:tbl>
      <w:tblPr>
        <w:tblW w:w="8784" w:type="dxa"/>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784"/>
      </w:tblGrid>
      <w:tr>
        <w:trPr>
          <w:trHeight w:val="510" w:hRule="atLeast"/>
        </w:trPr>
        <w:tc>
          <w:tcPr>
            <w:tcW w:w="8784" w:type="dxa"/>
            <w:tcMar>
              <w:top w:w="100" w:type="dxa"/>
              <w:left w:w="100" w:type="dxa"/>
              <w:bottom w:w="100" w:type="dxa"/>
              <w:right w:w="100" w:type="dxa"/>
            </w:tcMar>
            <w:vAlign w:val="center"/>
          </w:tcPr>
          <w:p>
            <w:pPr>
              <w:spacing w:before="0" w:after="0" w:line="240" w:lineRule="auto"/>
              <w:jc w:val="center"/>
              <w:rPr>
                <w:rFonts w:ascii="Arial" w:hAnsi="Arial" w:cs="Arial"/>
                <w:b/>
                <w:sz w:val="24"/>
              </w:rPr>
            </w:pPr>
            <w:r>
              <w:rPr>
                <w:rFonts w:ascii="Arial" w:hAnsi="Arial" w:cs="Arial"/>
                <w:b/>
                <w:sz w:val="24"/>
              </w:rPr>
              <w:t xml:space="preserve">VOTO</w:t>
            </w:r>
          </w:p>
        </w:tc>
      </w:tr>
    </w:tbl>
    <w:p>
      <w:pPr>
        <w:spacing w:before="0" w:after="120" w:line="276" w:lineRule="auto"/>
        <w:jc w:val="both"/>
      </w:pPr>
      <w:r>
        <w:rPr>
          <w:rFonts w:ascii="Arial" w:hAnsi="Arial" w:cs="Arial"/>
          <w:sz w:val="22"/>
          <w:szCs w:val="22"/>
        </w:rPr>
        <w:t xml:space="preserve">Como a auditoria apontou a ocorrência de cinco irregularidades, passo a analisá-las de forma individual, como se segue:</w:t>
      </w:r>
    </w:p>
    <w:p>
      <w:pPr>
        <w:spacing w:before="0" w:after="0" w:line="240" w:lineRule="auto"/>
      </w:pPr>
    </w:p>
    <w:p>
      <w:pPr>
        <w:spacing w:before="0" w:after="120" w:line="276" w:lineRule="auto"/>
        <w:jc w:val="both"/>
      </w:pPr>
      <w:r>
        <w:rPr>
          <w:rFonts w:ascii="Arial" w:hAnsi="Arial" w:cs="Arial"/>
          <w:sz w:val="22"/>
          <w:szCs w:val="22"/>
          <w:b/>
          <w:bCs/>
        </w:rPr>
        <w:t xml:space="preserve">2.1.1. Dispensa de Licitação baseada em justificativas insuficientes para caracterizar situação emergencial</w:t>
      </w:r>
    </w:p>
    <w:p>
      <w:pPr>
        <w:spacing w:before="0" w:after="0" w:line="240" w:lineRule="auto"/>
      </w:pPr>
    </w:p>
    <w:p>
      <w:pPr>
        <w:spacing w:before="0" w:after="120" w:line="276" w:lineRule="auto"/>
        <w:jc w:val="both"/>
      </w:pPr>
      <w:r>
        <w:rPr>
          <w:rFonts w:ascii="Arial" w:hAnsi="Arial" w:cs="Arial"/>
          <w:sz w:val="22"/>
          <w:szCs w:val="22"/>
        </w:rPr>
        <w:t xml:space="preserve">A equipe técnica apontou vício na origem da contratação, conforme destacado na conclusão do Relatório Complementar de Auditoria.</w:t>
      </w:r>
    </w:p>
    <w:p>
      <w:pPr>
        <w:spacing w:before="0" w:after="0" w:line="240" w:lineRule="auto"/>
      </w:pPr>
    </w:p>
    <w:p>
      <w:pPr>
        <w:spacing w:before="0" w:after="120" w:line="276" w:lineRule="auto"/>
        <w:jc w:val="both"/>
      </w:pPr>
      <w:r>
        <w:rPr>
          <w:rFonts w:ascii="Arial" w:hAnsi="Arial" w:cs="Arial"/>
          <w:sz w:val="22"/>
          <w:szCs w:val="22"/>
          <w:b/>
          <w:bCs/>
        </w:rPr>
        <w:t xml:space="preserve">Análise da Auditoria:</w:t>
      </w:r>
    </w:p>
    <w:p>
      <w:pPr>
        <w:spacing w:before="0" w:after="0" w:line="240" w:lineRule="auto"/>
      </w:pPr>
    </w:p>
    <w:p>
      <w:pPr>
        <w:spacing w:before="60" w:after="60" w:line="276" w:lineRule="auto"/>
        <w:ind w:left="720"/>
        <w:jc w:val="both"/>
      </w:pPr>
      <w:r>
        <w:rPr>
          <w:rFonts w:ascii="Arial" w:hAnsi="Arial" w:cs="Arial"/>
          <w:sz w:val="22"/>
          <w:szCs w:val="22"/>
        </w:rPr>
        <w:t xml:space="preserve">[...] CONSIDERANDO o vício de origem configurado na Dispensa de Licitação baseada em documentos desprovidos de justificativas que inegavelmente pudessem ser consideradas suficientes para a contratação emergencial.</w:t>
      </w:r>
    </w:p>
    <w:p>
      <w:pPr>
        <w:spacing w:before="0" w:after="0" w:line="240" w:lineRule="auto"/>
      </w:pPr>
    </w:p>
    <w:p>
      <w:pPr>
        <w:spacing w:before="60" w:after="60" w:line="276" w:lineRule="auto"/>
        <w:ind w:left="720"/>
        <w:jc w:val="both"/>
      </w:pPr>
      <w:r>
        <w:rPr>
          <w:rFonts w:ascii="Arial" w:hAnsi="Arial" w:cs="Arial"/>
          <w:sz w:val="22"/>
          <w:szCs w:val="22"/>
        </w:rPr>
        <w:t xml:space="preserve">[...] A urgência alegada não se enquadrava nos requisitos do art. 24, IV, da Lei nº 8.666/93.</w:t>
      </w:r>
    </w:p>
    <w:p>
      <w:pPr>
        <w:spacing w:before="0" w:after="0" w:line="240" w:lineRule="auto"/>
      </w:pPr>
    </w:p>
    <w:p>
      <w:pPr>
        <w:spacing w:before="0" w:after="120" w:line="276" w:lineRule="auto"/>
        <w:jc w:val="both"/>
      </w:pPr>
      <w:r>
        <w:rPr>
          <w:rFonts w:ascii="Arial" w:hAnsi="Arial" w:cs="Arial"/>
          <w:sz w:val="22"/>
          <w:szCs w:val="22"/>
          <w:b/>
          <w:bCs/>
        </w:rPr>
        <w:t xml:space="preserve">Defesa do Interessado:</w:t>
      </w:r>
    </w:p>
    <w:p>
      <w:pPr>
        <w:spacing w:before="0" w:after="0" w:line="240" w:lineRule="auto"/>
      </w:pPr>
    </w:p>
    <w:p>
      <w:pPr>
        <w:spacing w:before="60" w:after="60" w:line="276" w:lineRule="auto"/>
        <w:ind w:left="720"/>
        <w:jc w:val="both"/>
      </w:pPr>
      <w:r>
        <w:rPr>
          <w:rFonts w:ascii="Arial" w:hAnsi="Arial" w:cs="Arial"/>
          <w:sz w:val="22"/>
          <w:szCs w:val="22"/>
        </w:rPr>
        <w:t xml:space="preserve">[...] os prazos a serem cumpridos junto à empresa YAZAKI DO BRASIL LTDA ERAM BASTANTE EXÍGUOS, prazos estes que não poderiam, sob nenhuma hipótese, sujeitar-se ao risco da licitação fracassar.</w:t>
      </w:r>
    </w:p>
    <w:p>
      <w:pPr>
        <w:spacing w:before="0" w:after="0" w:line="240" w:lineRule="auto"/>
      </w:pPr>
    </w:p>
    <w:p>
      <w:pPr>
        <w:spacing w:before="0" w:after="120" w:line="276" w:lineRule="auto"/>
        <w:jc w:val="both"/>
      </w:pPr>
      <w:r>
        <w:rPr>
          <w:rFonts w:ascii="Arial" w:hAnsi="Arial" w:cs="Arial"/>
          <w:sz w:val="22"/>
          <w:szCs w:val="22"/>
          <w:b/>
          <w:bCs/>
        </w:rPr>
        <w:t xml:space="preserve">Análise do Relator:</w:t>
      </w:r>
    </w:p>
    <w:p>
      <w:pPr>
        <w:spacing w:before="0" w:after="0" w:line="240" w:lineRule="auto"/>
      </w:pPr>
    </w:p>
    <w:p>
      <w:pPr>
        <w:spacing w:before="0" w:after="120" w:line="276" w:lineRule="auto"/>
        <w:jc w:val="both"/>
      </w:pPr>
      <w:r>
        <w:rPr>
          <w:rFonts w:ascii="Arial" w:hAnsi="Arial" w:cs="Arial"/>
          <w:sz w:val="22"/>
          <w:szCs w:val="22"/>
        </w:rPr>
        <w:t xml:space="preserve">Compulsando os autos, verifico que a equipe técnica apontou que a contratação direta carecia de elementos que configurassem, de forma inequívoca, situação emergencial. A defesa, por sua vez, contextualiza a decisão na iminência de perder um investimento de R$ 60 milhões e a geração de 2.000 empregos.</w:t>
      </w:r>
    </w:p>
    <w:p>
      <w:pPr>
        <w:spacing w:before="0" w:after="0" w:line="240" w:lineRule="auto"/>
      </w:pPr>
    </w:p>
    <w:p>
      <w:pPr>
        <w:spacing w:before="0" w:after="120" w:line="276" w:lineRule="auto"/>
        <w:jc w:val="both"/>
      </w:pPr>
      <w:r>
        <w:rPr>
          <w:rFonts w:ascii="Arial" w:hAnsi="Arial" w:cs="Arial"/>
          <w:sz w:val="22"/>
          <w:szCs w:val="22"/>
        </w:rPr>
        <w:t xml:space="preserve">A ponderação exigida pelo art. 20 da LINDB compele a análise das consequências práticas. A perda de tal investimento representaria prejuízo concreto ao interesse público local. A falha reside mais na fundamentação formal do que na substância da decisão.</w:t>
      </w:r>
    </w:p>
    <w:p>
      <w:pPr>
        <w:spacing w:before="0" w:after="0" w:line="240" w:lineRule="auto"/>
      </w:pPr>
    </w:p>
    <w:p>
      <w:pPr>
        <w:spacing w:before="0" w:after="120" w:line="276" w:lineRule="auto"/>
        <w:jc w:val="both"/>
      </w:pPr>
      <w:r>
        <w:rPr>
          <w:rFonts w:ascii="Arial" w:hAnsi="Arial" w:cs="Arial"/>
          <w:sz w:val="22"/>
          <w:szCs w:val="22"/>
        </w:rPr>
        <w:t xml:space="preserve">Diante do exposto, voto pela REGULARIDADE COM RESSALVAS do achado.</w:t>
      </w:r>
    </w:p>
    <w:p>
      <w:pPr>
        <w:spacing w:before="0" w:after="0" w:line="240" w:lineRule="auto"/>
      </w:pPr>
    </w:p>
    <w:p>
      <w:pPr>
        <w:spacing w:before="0" w:after="120" w:line="276" w:lineRule="auto"/>
        <w:jc w:val="both"/>
      </w:pPr>
      <w:r>
        <w:rPr>
          <w:rFonts w:ascii="Arial" w:hAnsi="Arial" w:cs="Arial"/>
          <w:sz w:val="22"/>
          <w:szCs w:val="22"/>
          <w:b/>
          <w:bCs/>
        </w:rPr>
        <w:t xml:space="preserve">2.1.2. Reincidência na emissão de projeto básico insuficiente</w:t>
      </w:r>
    </w:p>
    <w:p>
      <w:pPr>
        <w:spacing w:before="0" w:after="0" w:line="240" w:lineRule="auto"/>
      </w:pPr>
    </w:p>
    <w:p>
      <w:pPr>
        <w:spacing w:before="0" w:after="120" w:line="276" w:lineRule="auto"/>
        <w:jc w:val="both"/>
      </w:pPr>
      <w:r>
        <w:rPr>
          <w:rFonts w:ascii="Arial" w:hAnsi="Arial" w:cs="Arial"/>
          <w:sz w:val="22"/>
          <w:szCs w:val="22"/>
        </w:rPr>
        <w:t xml:space="preserve">A auditoria constatou deficiências graves no planejamento da obra.</w:t>
      </w:r>
    </w:p>
    <w:p>
      <w:pPr>
        <w:spacing w:before="0" w:after="0" w:line="240" w:lineRule="auto"/>
      </w:pPr>
    </w:p>
    <w:p>
      <w:pPr>
        <w:spacing w:before="0" w:after="120" w:line="276" w:lineRule="auto"/>
        <w:jc w:val="both"/>
      </w:pPr>
      <w:r>
        <w:rPr>
          <w:rFonts w:ascii="Arial" w:hAnsi="Arial" w:cs="Arial"/>
          <w:sz w:val="22"/>
          <w:szCs w:val="22"/>
          <w:b/>
          <w:bCs/>
        </w:rPr>
        <w:t xml:space="preserve">Análise da Auditoria:</w:t>
      </w:r>
    </w:p>
    <w:p>
      <w:pPr>
        <w:spacing w:before="0" w:after="0" w:line="240" w:lineRule="auto"/>
      </w:pPr>
    </w:p>
    <w:p>
      <w:pPr>
        <w:spacing w:before="60" w:after="60" w:line="276" w:lineRule="auto"/>
        <w:ind w:left="720"/>
        <w:jc w:val="both"/>
      </w:pPr>
      <w:r>
        <w:rPr>
          <w:rFonts w:ascii="Arial" w:hAnsi="Arial" w:cs="Arial"/>
          <w:sz w:val="22"/>
          <w:szCs w:val="22"/>
        </w:rPr>
        <w:t xml:space="preserve">[...] CONSIDERANDO o encadeamento de graves irregularidades configuradas em insuficiências no planejamento da obra.</w:t>
      </w:r>
    </w:p>
    <w:p>
      <w:pPr>
        <w:spacing w:before="0" w:after="0" w:line="240" w:lineRule="auto"/>
      </w:pPr>
    </w:p>
    <w:p>
      <w:pPr>
        <w:spacing w:before="0" w:after="120" w:line="276" w:lineRule="auto"/>
        <w:jc w:val="both"/>
      </w:pPr>
      <w:r>
        <w:rPr>
          <w:rFonts w:ascii="Arial" w:hAnsi="Arial" w:cs="Arial"/>
          <w:sz w:val="22"/>
          <w:szCs w:val="22"/>
          <w:b/>
          <w:bCs/>
        </w:rPr>
        <w:t xml:space="preserve">Defesa do Interessado:</w:t>
      </w:r>
    </w:p>
    <w:p>
      <w:pPr>
        <w:spacing w:before="0" w:after="0" w:line="240" w:lineRule="auto"/>
      </w:pPr>
    </w:p>
    <w:p>
      <w:pPr>
        <w:spacing w:before="60" w:after="60" w:line="276" w:lineRule="auto"/>
        <w:ind w:left="720"/>
        <w:jc w:val="both"/>
      </w:pPr>
      <w:r>
        <w:rPr>
          <w:rFonts w:ascii="Arial" w:hAnsi="Arial" w:cs="Arial"/>
          <w:sz w:val="22"/>
          <w:szCs w:val="22"/>
        </w:rPr>
        <w:t xml:space="preserve">[...] a Administração Municipal buscou a elaboração adequada do projeto básico, observando as normas técnicas e legais pertinentes.</w:t>
      </w:r>
    </w:p>
    <w:p>
      <w:pPr>
        <w:spacing w:before="0" w:after="0" w:line="240" w:lineRule="auto"/>
      </w:pPr>
    </w:p>
    <w:p>
      <w:pPr>
        <w:spacing w:before="0" w:after="120" w:line="276" w:lineRule="auto"/>
        <w:jc w:val="both"/>
      </w:pPr>
      <w:r>
        <w:rPr>
          <w:rFonts w:ascii="Arial" w:hAnsi="Arial" w:cs="Arial"/>
          <w:sz w:val="22"/>
          <w:szCs w:val="22"/>
          <w:b/>
          <w:bCs/>
        </w:rPr>
        <w:t xml:space="preserve">Análise do Relator:</w:t>
      </w:r>
    </w:p>
    <w:p>
      <w:pPr>
        <w:spacing w:before="0" w:after="0" w:line="240" w:lineRule="auto"/>
      </w:pPr>
    </w:p>
    <w:p>
      <w:pPr>
        <w:spacing w:before="0" w:after="120" w:line="276" w:lineRule="auto"/>
        <w:jc w:val="both"/>
      </w:pPr>
      <w:r>
        <w:rPr>
          <w:rFonts w:ascii="Arial" w:hAnsi="Arial" w:cs="Arial"/>
          <w:sz w:val="22"/>
          <w:szCs w:val="22"/>
        </w:rPr>
        <w:t xml:space="preserve">Embora o contexto emergencial possa ter pressionado a equipe técnica, a reincidência na emissão de projetos deficientes é uma falha administrativa que não pode ser ignorada. Contudo, não há nos autos elementos que indiquem dolo ou má-fé.</w:t>
      </w:r>
    </w:p>
    <w:p>
      <w:pPr>
        <w:spacing w:before="0" w:after="0" w:line="240" w:lineRule="auto"/>
      </w:pPr>
    </w:p>
    <w:p>
      <w:pPr>
        <w:spacing w:before="0" w:after="120" w:line="276" w:lineRule="auto"/>
        <w:jc w:val="both"/>
      </w:pPr>
      <w:r>
        <w:rPr>
          <w:rFonts w:ascii="Arial" w:hAnsi="Arial" w:cs="Arial"/>
          <w:sz w:val="22"/>
          <w:szCs w:val="22"/>
        </w:rPr>
        <w:t xml:space="preserve">Diante do exposto, voto pela REGULARIDADE COM RESSALVAS do achado.</w:t>
      </w:r>
    </w:p>
    <w:p>
      <w:pPr>
        <w:spacing w:before="0" w:after="0" w:line="240" w:lineRule="auto"/>
      </w:pPr>
    </w:p>
    <w:p>
      <w:pPr>
        <w:spacing w:before="0" w:after="120" w:line="276" w:lineRule="auto"/>
        <w:jc w:val="both"/>
      </w:pPr>
      <w:r>
        <w:rPr>
          <w:rFonts w:ascii="Arial" w:hAnsi="Arial" w:cs="Arial"/>
          <w:sz w:val="22"/>
          <w:szCs w:val="22"/>
          <w:b/>
          <w:bCs/>
        </w:rPr>
        <w:t xml:space="preserve">6. DECISÃO</w:t>
      </w:r>
    </w:p>
    <w:p>
      <w:pPr>
        <w:spacing w:before="0" w:after="0" w:line="240" w:lineRule="auto"/>
      </w:pPr>
    </w:p>
    <w:p>
      <w:pPr>
        <w:spacing w:before="0" w:after="120" w:line="276" w:lineRule="auto"/>
        <w:jc w:val="both"/>
      </w:pPr>
      <w:r>
        <w:rPr>
          <w:rFonts w:ascii="Arial" w:hAnsi="Arial" w:cs="Arial"/>
          <w:sz w:val="22"/>
          <w:szCs w:val="22"/>
        </w:rPr>
        <w:t xml:space="preserve">Ante o exposto, profiro o seguinte VOTO:</w:t>
      </w:r>
    </w:p>
    <w:p>
      <w:pPr>
        <w:spacing w:before="0" w:after="0" w:line="240" w:lineRule="auto"/>
      </w:pPr>
    </w:p>
    <w:p>
      <w:pPr>
        <w:spacing w:before="0" w:after="120" w:line="276" w:lineRule="auto"/>
        <w:jc w:val="both"/>
      </w:pPr>
      <w:r>
        <w:rPr>
          <w:rFonts w:ascii="Arial" w:hAnsi="Arial" w:cs="Arial"/>
          <w:sz w:val="22"/>
          <w:szCs w:val="22"/>
        </w:rPr>
        <w:t xml:space="preserve">1. </w:t>
      </w:r>
      <w:r>
        <w:rPr>
          <w:rFonts w:ascii="Arial" w:hAnsi="Arial" w:cs="Arial"/>
          <w:sz w:val="22"/>
          <w:szCs w:val="22"/>
          <w:b/>
          <w:bCs/>
        </w:rPr>
        <w:t xml:space="preserve">JULGAR REGULARES COM RESSALVAS</w:t>
      </w:r>
      <w:r>
        <w:rPr>
          <w:rFonts w:ascii="Arial" w:hAnsi="Arial" w:cs="Arial"/>
          <w:sz w:val="22"/>
          <w:szCs w:val="22"/>
        </w:rPr>
        <w:t xml:space="preserve"> as contas objeto da presente Auditoria Especial, referente ao exercício de 2020.</w:t>
      </w:r>
    </w:p>
    <w:p>
      <w:pPr>
        <w:spacing w:before="0" w:after="0" w:line="240" w:lineRule="auto"/>
      </w:pPr>
    </w:p>
    <w:p>
      <w:pPr>
        <w:spacing w:before="0" w:after="120" w:line="276" w:lineRule="auto"/>
        <w:jc w:val="both"/>
      </w:pPr>
      <w:r>
        <w:rPr>
          <w:rFonts w:ascii="Arial" w:hAnsi="Arial" w:cs="Arial"/>
          <w:sz w:val="22"/>
          <w:szCs w:val="22"/>
        </w:rPr>
        <w:t xml:space="preserve">2. </w:t>
      </w:r>
      <w:r>
        <w:rPr>
          <w:rFonts w:ascii="Arial" w:hAnsi="Arial" w:cs="Arial"/>
          <w:sz w:val="22"/>
          <w:szCs w:val="22"/>
          <w:b/>
          <w:bCs/>
        </w:rPr>
        <w:t xml:space="preserve">DETERMINAR</w:t>
      </w:r>
      <w:r>
        <w:rPr>
          <w:rFonts w:ascii="Arial" w:hAnsi="Arial" w:cs="Arial"/>
          <w:sz w:val="22"/>
          <w:szCs w:val="22"/>
        </w:rPr>
        <w:t xml:space="preserve"> à atual gestão da Prefeitura Municipal de Bonito que adote medidas para aprimorar seus processos de contratação, em especial para que: a) as hipóteses de dispensa de licitação por emergência sejam devidamente fundamentadas; b) os projetos básicos sejam elaborados com o nível de detalhamento exigido por lei; c) sejam instituídos rigorosos mecanismos de fiscalização dos contratos.</w:t>
      </w:r>
    </w:p>
    <w:p>
      <w:pPr>
        <w:spacing w:before="0" w:after="0" w:line="240" w:lineRule="auto"/>
      </w:pPr>
    </w:p>
    <w:p>
      <w:pPr>
        <w:spacing w:before="0" w:after="120" w:line="276" w:lineRule="auto"/>
        <w:jc w:val="both"/>
      </w:pPr>
      <w:r>
        <w:rPr>
          <w:rFonts w:ascii="Arial" w:hAnsi="Arial" w:cs="Arial"/>
          <w:sz w:val="22"/>
          <w:szCs w:val="22"/>
        </w:rPr>
        <w:t xml:space="preserve">Deste modo,</w:t>
      </w:r>
    </w:p>
    <w:p>
      <w:pPr>
        <w:spacing w:before="0" w:after="0" w:line="240" w:lineRule="auto"/>
      </w:pPr>
    </w:p>
    <w:p>
      <w:pPr>
        <w:spacing w:before="0" w:after="120" w:line="276" w:lineRule="auto"/>
        <w:jc w:val="both"/>
      </w:pPr>
      <w:r>
        <w:rPr>
          <w:rFonts w:ascii="Arial" w:hAnsi="Arial" w:cs="Arial"/>
          <w:sz w:val="22"/>
          <w:szCs w:val="22"/>
        </w:rPr>
        <w:t xml:space="preserve">Voto no sentido de:</w:t>
      </w:r>
    </w:p>
    <w:p>
      <w:pPr>
        <w:spacing w:before="0" w:after="0" w:line="240" w:lineRule="auto"/>
      </w:pPr>
    </w:p>
    <w:p>
      <w:pPr>
        <w:spacing w:before="0" w:after="120" w:line="276" w:lineRule="auto"/>
        <w:jc w:val="both"/>
      </w:pPr>
      <w:r>
        <w:rPr>
          <w:rFonts w:ascii="Arial" w:hAnsi="Arial" w:cs="Arial"/>
          <w:sz w:val="22"/>
          <w:szCs w:val="22"/>
          <w:b/>
          <w:bCs/>
        </w:rPr>
        <w:t xml:space="preserve">CONSIDERANDO</w:t>
      </w:r>
      <w:r>
        <w:rPr>
          <w:rFonts w:ascii="Arial" w:hAnsi="Arial" w:cs="Arial"/>
          <w:sz w:val="22"/>
          <w:szCs w:val="22"/>
        </w:rPr>
        <w:t xml:space="preserve"> as irregularidades apontadas no Relatório de Auditoria;</w:t>
      </w:r>
    </w:p>
    <w:p>
      <w:pPr>
        <w:spacing w:before="0" w:after="0" w:line="240" w:lineRule="auto"/>
      </w:pPr>
    </w:p>
    <w:p>
      <w:pPr>
        <w:spacing w:before="0" w:after="120" w:line="276" w:lineRule="auto"/>
        <w:jc w:val="both"/>
      </w:pPr>
      <w:r>
        <w:rPr>
          <w:rFonts w:ascii="Arial" w:hAnsi="Arial" w:cs="Arial"/>
          <w:sz w:val="22"/>
          <w:szCs w:val="22"/>
          <w:b/>
          <w:bCs/>
        </w:rPr>
        <w:t xml:space="preserve">CONSIDERANDO</w:t>
      </w:r>
      <w:r>
        <w:rPr>
          <w:rFonts w:ascii="Arial" w:hAnsi="Arial" w:cs="Arial"/>
          <w:sz w:val="22"/>
          <w:szCs w:val="22"/>
        </w:rPr>
        <w:t xml:space="preserve"> os argumentos de defesa que contextualizam as decisões diante da urgência em garantir investimento socioeconômico relevante;</w:t>
      </w:r>
    </w:p>
    <w:p>
      <w:pPr>
        <w:spacing w:before="0" w:after="0" w:line="240" w:lineRule="auto"/>
      </w:pPr>
    </w:p>
    <w:p>
      <w:pPr>
        <w:spacing w:before="0" w:after="120" w:line="276" w:lineRule="auto"/>
        <w:jc w:val="both"/>
      </w:pPr>
      <w:r>
        <w:rPr>
          <w:rFonts w:ascii="Arial" w:hAnsi="Arial" w:cs="Arial"/>
          <w:sz w:val="22"/>
          <w:szCs w:val="22"/>
          <w:b/>
          <w:bCs/>
        </w:rPr>
        <w:t xml:space="preserve">CONSIDERANDO</w:t>
      </w:r>
      <w:r>
        <w:rPr>
          <w:rFonts w:ascii="Arial" w:hAnsi="Arial" w:cs="Arial"/>
          <w:sz w:val="22"/>
          <w:szCs w:val="22"/>
        </w:rPr>
        <w:t xml:space="preserve"> que, apesar das falhas formais, o objeto contratual foi executado;</w:t>
      </w:r>
    </w:p>
    <w:p>
      <w:pPr>
        <w:spacing w:before="0" w:after="0" w:line="240" w:lineRule="auto"/>
      </w:pPr>
    </w:p>
    <w:p>
      <w:pPr>
        <w:spacing w:before="0" w:after="120" w:line="276" w:lineRule="auto"/>
        <w:jc w:val="both"/>
      </w:pPr>
      <w:r>
        <w:rPr>
          <w:rFonts w:ascii="Arial" w:hAnsi="Arial" w:cs="Arial"/>
          <w:sz w:val="22"/>
          <w:szCs w:val="22"/>
          <w:b/>
          <w:bCs/>
        </w:rPr>
        <w:t xml:space="preserve">CONSIDERANDO</w:t>
      </w:r>
      <w:r>
        <w:rPr>
          <w:rFonts w:ascii="Arial" w:hAnsi="Arial" w:cs="Arial"/>
          <w:sz w:val="22"/>
          <w:szCs w:val="22"/>
        </w:rPr>
        <w:t xml:space="preserve"> o disposto no art. 59, II, da Lei Estadual nº 12.600/2004;</w:t>
      </w:r>
    </w:p>
    <w:p>
      <w:pPr>
        <w:spacing w:before="0" w:after="0" w:line="240" w:lineRule="auto"/>
      </w:pPr>
    </w:p>
    <w:p>
      <w:pPr>
        <w:spacing w:before="0" w:after="120" w:line="276" w:lineRule="auto"/>
        <w:jc w:val="both"/>
      </w:pPr>
      <w:r>
        <w:rPr>
          <w:rFonts w:ascii="Arial" w:hAnsi="Arial" w:cs="Arial"/>
          <w:sz w:val="22"/>
          <w:szCs w:val="22"/>
          <w:b/>
          <w:bCs/>
        </w:rPr>
        <w:t xml:space="preserve">JULGAR REGULARES COM RESSALVAS</w:t>
      </w:r>
      <w:r>
        <w:rPr>
          <w:rFonts w:ascii="Arial" w:hAnsi="Arial" w:cs="Arial"/>
          <w:sz w:val="22"/>
          <w:szCs w:val="22"/>
        </w:rPr>
        <w:t xml:space="preserve"> o objeto da presente Auditoria Especial.</w:t>
      </w:r>
    </w:p>
    <w:p>
      <w:pPr>
        <w:spacing w:before="0" w:after="0" w:line="240" w:lineRule="auto"/>
      </w:pPr>
    </w:p>
    <w:sectPr>
      <w:pgSz w:w="11906" w:h="16838"/>
      <w:pgMar w:top="1684" w:right="1308" w:bottom="1264" w:left="1814" w:header="0" w:footer="720" w:gutter="0"/>
    </w:sectPr>
  </w:body>
</w:document>
</file>

<file path=word/styles.xml><?xml version="1.0" encoding="utf-8"?>
<w:styles xmlns:w="http://schemas.openxmlformats.org/wordprocessingml/2006/main">
  <w:docDefaults>
    <w:rPrDefault>
      <w:rPr>
        <w:rFonts w:ascii="Arial" w:hAnsi="Arial" w:cs="Arial" w:eastAsia="Arial"/>
        <w:sz w:val="22"/>
        <w:szCs w:val="22"/>
        <w:lang w:val="pt-BR"/>
      </w:rPr>
    </w:rPrDefault>
    <w:pPrDefault>
      <w:pPr>
        <w:spacing w:after="120" w:line="276"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