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IDENTIFICAÇÃO DO PROCESSO</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40106201171875" w:right="0" w:firstLine="0"/>
        <w:jc w:val="left"/>
        <w:rPr>
          <w:b w:val="1"/>
          <w:bCs w:val="1"/>
          <w:sz w:val="24"/>
          <w:szCs w:val="24"/>
        </w:rPr>
      </w:pPr>
      <w:r w:rsidDel="00000000" w:rsidR="00000000" w:rsidRPr="00000000">
        <w:rPr>
          <w:rFonts w:ascii="Arial" w:cs="Arial" w:eastAsia="Arial" w:hAnsi="Arial"/>
          <w:b/>
          <w:bCs w:val="1"/>
          <w:i w:val="0"/>
          <w:iCs w:val="0"/>
          <w:smallCaps w:val="0"/>
          <w:strike w:val="0"/>
          <w:color w:val="000000"/>
          <w:sz w:val="24"/>
          <w:szCs w:val="24"/>
          <w:u w:val="none"/>
          <w:shd w:fill="auto" w:val="clear"/>
          <w:vertAlign w:val="baseline"/>
          <w:rtl w:val="0"/>
        </w:rPr>
        <w:t>PROCESSO TCE-PE Nº 24100654-5</w:t>
      </w:r>
      <w:r w:rsidDel="00000000" w:rsidR="00000000" w:rsidRPr="00000000">
        <w:rPr>
          <w:b w:val="1"/>
          <w:bCs w:val="1"/>
          <w:sz w:val="24"/>
          <w:szCs w:val="24"/>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RELATOR: Conselheiro Rodrigo Cavalcanti Novaes</w:t>
      </w:r>
      <w:r w:rsidDel="00000000" w:rsidR="00000000" w:rsidRPr="00000000">
        <w:rPr>
          <w:b w:val="1"/>
          <w:bCs w:val="1"/>
          <w:sz w:val="24"/>
          <w:szCs w:val="24"/>
          <w:rtl w:val="0"/>
        </w:rPr>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23.96011352539062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MODALIDADE - TIPO: Auditoria Especial - Conformidade</w:t>
      </w:r>
      <w:r w:rsidDel="00000000" w:rsidR="00000000" w:rsidRPr="00000000">
        <w:rPr>
          <w:b w:val="1"/>
          <w:bCs w:val="1"/>
          <w:sz w:val="24"/>
          <w:szCs w:val="24"/>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 xml:space="preserve">EXERCÍCIO: </w:t>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21484375" w:line="240" w:lineRule="auto"/>
        <w:ind w:left="24.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UNIDADE(S) JURISDICIONADA(S): Prefeitura Municipal de Inajá</w:t>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865234375" w:line="240" w:lineRule="auto"/>
        <w:ind w:left="22.760009765625" w:right="0" w:firstLine="0"/>
        <w:jc w:val="left"/>
        <w:rPr>
          <w:b w:val="1"/>
          <w:bCs w:val="1"/>
          <w:sz w:val="24"/>
          <w:szCs w:val="24"/>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INTERESSADOS:</w:t>
      </w:r>
      <w:r w:rsidDel="00000000" w:rsidR="00000000" w:rsidRPr="00000000">
        <w:rPr>
          <w:rtl w:val="0"/>
        </w:rPr>
      </w:r>
    </w:p>
    <w:p w:rsidR="00000000" w:rsidDel="00000000" w:rsidP="00000000" w:rsidRDefault="00000000" w:rsidRPr="00000000" w14:paraId="0000000A">
      <w:pPr>
        <w:widowControl w:val="0"/>
        <w:jc w:val="both"/>
        <w:rPr>
          <w:sz w:val="24"/>
          <w:szCs w:val="24"/>
        </w:rPr>
      </w:pPr>
      <w:r w:rsidDel="00000000" w:rsidR="00000000" w:rsidRPr="00000000">
        <w:rPr>
          <w:rtl w:val="0"/>
        </w:rPr>
      </w:r>
    </w:p>
    <w:p w:rsidR="00000000" w:rsidDel="00000000" w:rsidP="00000000" w:rsidRDefault="00000000" w:rsidRPr="00000000" w14:paraId="0000000B">
      <w:pPr>
        <w:widowControl w:val="0"/>
        <w:jc w:val="both"/>
        <w:rPr>
          <w:sz w:val="24"/>
          <w:szCs w:val="24"/>
        </w:rPr>
      </w:pPr>
      <w:r w:rsidDel="00000000" w:rsidR="00000000" w:rsidRPr="00000000">
        <w:rPr>
          <w:b w:val="0"/>
          <w:sz w:val="24"/>
          <w:szCs w:val="24"/>
          <w:rtl w:val="0"/>
        </w:rPr>
      </w:r>
    </w:p>
    <w:p w:rsidR="00000000" w:rsidDel="00000000" w:rsidP="00000000" w:rsidRDefault="00000000" w:rsidRPr="00000000" w14:paraId="0000000C">
      <w:pPr>
        <w:widowControl w:val="0"/>
        <w:jc w:val="both"/>
        <w:rPr>
          <w:sz w:val="24"/>
          <w:szCs w:val="24"/>
        </w:rPr>
      </w:pPr>
      <w:r w:rsidDel="00000000" w:rsidR="00000000" w:rsidRPr="00000000">
        <w:rPr>
          <w:rtl w:val="0"/>
        </w:rPr>
      </w:r>
    </w:p>
    <w:tbl>
      <w:tblPr>
        <w:tblStyle w:val="Table2"/>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EMENTA</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968.503937007873" w:right="8.598425196851167" w:firstLine="0"/>
        <w:jc w:val="both"/>
        <w:rPr>
          <w:sz w:val="24"/>
          <w:szCs w:val="24"/>
          <w:highlight w:val="yellow"/>
        </w:rPr>
      </w:pPr>
      <w:r w:rsidDel="00000000" w:rsidR="00000000" w:rsidRPr="00000000">
        <w:rPr>
          <w:b w:val="0"/>
          <w:sz w:val="24"/>
          <w:szCs w:val="24"/>
          <w:highlight w:val="yellow"/>
          <w:rtl w:val="0"/>
        </w:rPr>
        <w:t xml:space="preserve">PROCESSO DIGITAL Nº 24100654-5. PREFEITURA MUNICIPAL DE INAJÁ. AUDITORIA ESPECIAL DE CONFORMIDADE. CONTRATAÇÕES DE EVENTOS E INFRAESTRUTURA. EXERCÍCIO 2022/2023. </w:t>
        <w:br/>
        <w:br/>
        <w:t>I. CASO EM EXAME: Trata-se de auditoria para verificar a legalidade de licitações e contratos realizados pela Prefeitura de Inajá, especificamente o Convite nº 03/2022 e Dispensas de Licitação de 2023. Os principais pontos discutidos envolvem prazos de publicação, limites da modalidade Convite, quantitativos de equipamentos (palcos e geradores), formação de preços de mercado e a existência de fiscalização contratual.</w:t>
        <w:br/>
        <w:br/>
        <w:t>II. RAZÕES DE DECIDIR: 1. A redução do prazo no Convite nº 03/2022 justificou-se por se tratar de segunda convocação sem alteração no edital, conforme permite a Lei nº 8.666/93. 2. O valor final do contrato acima do limite do Convite decorreu de aditivo legal de 25%, sendo que o teto da modalidade aplica-se ao valor estimado inicial. 3. As divergências de quantitativos foram esclarecidas pela utilização simultânea de equipamentos (unidade de medida por item/diária). 4. O suposto sobrepreço baseou-se em licitação revogada por erro técnico, o que invalida o parâmetro de comparação. 5. A defesa comprovou a existência de relatórios e checklists de fiscalização junto às notas fiscais.</w:t>
        <w:br/>
        <w:br/>
        <w:t>III. DISPOSITIVO E TESE: Julgamento pela REGULARIDADE COM RESSALVAS das contas. Tese: A validade de preços de mercado não pode ser extraída de licitações revogadas por vícios técnicos; aditivos contratuais dentro do limite de 25% não descaracterizam a modalidade licitatória escolhida com base na estimativa original; e a contagem de diárias de equipamentos deve considerar a utilização simultânea de múltiplos itens no mesmo evento.</w:t>
      </w:r>
    </w:p>
    <w:p w:rsidR="00000000" w:rsidDel="00000000" w:rsidP="00000000" w:rsidRDefault="00000000" w:rsidRPr="00000000" w14:paraId="0000000F">
      <w:pPr>
        <w:widowControl w:val="0"/>
        <w:numPr>
          <w:ilvl w:val="0"/>
          <w:numId w:val="2"/>
        </w:numPr>
        <w:spacing w:before="240" w:line="331.2" w:lineRule="auto"/>
        <w:ind w:left="4320" w:hanging="360"/>
        <w:jc w:val="both"/>
        <w:rPr>
          <w:sz w:val="24"/>
          <w:szCs w:val="24"/>
          <w:highlight w:val="yellow"/>
        </w:rPr>
      </w:pPr>
      <w:r w:rsidDel="00000000" w:rsidR="00000000" w:rsidRPr="00000000">
        <w:rPr>
          <w:b w:val="0"/>
          <w:sz w:val="24"/>
          <w:szCs w:val="24"/>
          <w:highlight w:val="yellow"/>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5927734375" w:firstLine="0"/>
        <w:jc w:val="right"/>
        <w:rPr>
          <w:sz w:val="24"/>
          <w:szCs w:val="24"/>
        </w:rPr>
      </w:pPr>
      <w:r w:rsidDel="00000000" w:rsidR="00000000" w:rsidRPr="00000000">
        <w:rPr>
          <w:rtl w:val="0"/>
        </w:rPr>
      </w:r>
    </w:p>
    <w:tbl>
      <w:tblPr>
        <w:tblStyle w:val="Table3"/>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DO OBJETO</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13">
      <w:pPr>
        <w:widowControl w:val="0"/>
        <w:jc w:val="both"/>
        <w:rPr>
          <w:color w:val="ff0000"/>
          <w:sz w:val="24"/>
          <w:szCs w:val="24"/>
        </w:rPr>
      </w:pPr>
      <w:r w:rsidDel="00000000" w:rsidR="00000000" w:rsidRPr="00000000">
        <w:rPr>
          <w:sz w:val="24"/>
          <w:szCs w:val="24"/>
          <w:rtl w:val="0"/>
        </w:rPr>
        <w:t xml:space="preserve">Avaliar a utilização dos recursos provenientes de emendas parlamentares, em relação às emendas à lei orçamentária de 2023, abordando a transparência no processo de seleção de investimentos e na gestão financeira orçamentária, a eficiência em termos de prazos de execução e custos de controle, e a efetividade em relação aos benefícios concretos para a população.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4"/>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RELATÓRIO</w:t>
            </w:r>
          </w:p>
        </w:tc>
      </w:tr>
    </w:tbl>
    <w:p w:rsidR="00000000" w:rsidDel="00000000" w:rsidP="00000000" w:rsidRDefault="00000000" w:rsidRPr="00000000" w14:paraId="00000016">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widowControl w:val="0"/>
        <w:spacing w:line="276" w:lineRule="auto"/>
        <w:ind w:left="0" w:firstLine="0"/>
        <w:jc w:val="both"/>
        <w:rPr>
          <w:sz w:val="24"/>
          <w:szCs w:val="24"/>
        </w:rPr>
      </w:pPr>
      <w:r w:rsidDel="00000000" w:rsidR="00000000" w:rsidRPr="00000000">
        <w:rPr>
          <w:sz w:val="24"/>
          <w:szCs w:val="24"/>
          <w:rtl w:val="0"/>
        </w:rPr>
        <w:t xml:space="preserve">Dentre outros documentos que integram os autos, destacam-se:</w:t>
      </w:r>
    </w:p>
    <w:p w:rsidR="00000000" w:rsidDel="00000000" w:rsidP="00000000" w:rsidRDefault="00000000" w:rsidRPr="00000000" w14:paraId="00000018">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o relatório de Auditoria (doc. 56);</w:t>
      </w:r>
      <w:r w:rsidDel="00000000" w:rsidR="00000000" w:rsidRPr="00000000">
        <w:rPr>
          <w:rtl w:val="0"/>
        </w:rPr>
      </w:r>
    </w:p>
    <w:p w:rsidR="00000000" w:rsidDel="00000000" w:rsidP="00000000" w:rsidRDefault="00000000" w:rsidRPr="00000000" w14:paraId="00000019">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notificações dos interessados (docs. 56 a 128</w:t>
      </w:r>
      <w:r w:rsidDel="00000000" w:rsidR="00000000" w:rsidRPr="00000000">
        <w:rPr>
          <w:sz w:val="24"/>
          <w:szCs w:val="24"/>
          <w:rtl w:val="0"/>
        </w:rPr>
        <w:t xml:space="preserve">) </w:t>
      </w:r>
      <w:r w:rsidDel="00000000" w:rsidR="00000000" w:rsidRPr="00000000">
        <w:rPr>
          <w:sz w:val="24"/>
          <w:szCs w:val="24"/>
          <w:rtl w:val="0"/>
        </w:rPr>
        <w:t xml:space="preserve">e</w:t>
      </w:r>
      <w:r w:rsidDel="00000000" w:rsidR="00000000" w:rsidRPr="00000000">
        <w:rPr>
          <w:rtl w:val="0"/>
        </w:rPr>
      </w:r>
    </w:p>
    <w:p w:rsidR="00000000" w:rsidDel="00000000" w:rsidP="00000000" w:rsidRDefault="00000000" w:rsidRPr="00000000" w14:paraId="0000001A">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defesas prévias (docs. 13, 143, 145 a 175, 179 a 189).</w:t>
      </w:r>
      <w:r w:rsidDel="00000000" w:rsidR="00000000" w:rsidRPr="00000000">
        <w:rPr>
          <w:rtl w:val="0"/>
        </w:rPr>
      </w:r>
    </w:p>
    <w:p w:rsidR="00000000" w:rsidDel="00000000" w:rsidP="00000000" w:rsidRDefault="00000000" w:rsidRPr="00000000" w14:paraId="0000001B">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widowControl w:val="0"/>
        <w:spacing w:line="276" w:lineRule="auto"/>
        <w:ind w:left="0" w:firstLine="0"/>
        <w:jc w:val="both"/>
        <w:rPr>
          <w:sz w:val="24"/>
          <w:szCs w:val="24"/>
        </w:rPr>
      </w:pPr>
      <w:r w:rsidDel="00000000" w:rsidR="00000000" w:rsidRPr="00000000">
        <w:rPr>
          <w:sz w:val="24"/>
          <w:szCs w:val="24"/>
          <w:rtl w:val="0"/>
        </w:rPr>
        <w:t xml:space="preserve">Após carrear aos autos vasta documentação, a auditoria emitiu, em 12/02/2025, o relatório apontando a ocorrência de algumas irregularidades. </w:t>
      </w:r>
    </w:p>
    <w:p w:rsidR="00000000" w:rsidDel="00000000" w:rsidP="00000000" w:rsidRDefault="00000000" w:rsidRPr="00000000" w14:paraId="0000001D">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widowControl w:val="0"/>
        <w:spacing w:line="276" w:lineRule="auto"/>
        <w:ind w:left="0" w:firstLine="0"/>
        <w:jc w:val="both"/>
        <w:rPr>
          <w:sz w:val="24"/>
          <w:szCs w:val="24"/>
        </w:rPr>
      </w:pPr>
      <w:r w:rsidDel="00000000" w:rsidR="00000000" w:rsidRPr="00000000">
        <w:rPr>
          <w:sz w:val="24"/>
          <w:szCs w:val="24"/>
          <w:rtl w:val="0"/>
        </w:rPr>
        <w:t xml:space="preserve">Dentre os notificados, todos apresentaram defesa.</w:t>
      </w:r>
    </w:p>
    <w:p w:rsidR="00000000" w:rsidDel="00000000" w:rsidP="00000000" w:rsidRDefault="00000000" w:rsidRPr="00000000" w14:paraId="0000001F">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0">
      <w:pPr>
        <w:widowControl w:val="0"/>
        <w:spacing w:line="276" w:lineRule="auto"/>
        <w:ind w:left="0" w:firstLine="0"/>
        <w:jc w:val="both"/>
        <w:rPr>
          <w:sz w:val="24"/>
          <w:szCs w:val="24"/>
        </w:rPr>
      </w:pPr>
      <w:r w:rsidDel="00000000" w:rsidR="00000000" w:rsidRPr="00000000">
        <w:rPr>
          <w:sz w:val="24"/>
          <w:szCs w:val="24"/>
          <w:rtl w:val="0"/>
        </w:rPr>
        <w:t xml:space="preserve">Vieram-me os autos para julgamento.</w:t>
      </w:r>
    </w:p>
    <w:p w:rsidR="00000000" w:rsidDel="00000000" w:rsidP="00000000" w:rsidRDefault="00000000" w:rsidRPr="00000000" w14:paraId="00000021">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2">
      <w:pPr>
        <w:widowControl w:val="0"/>
        <w:spacing w:line="276" w:lineRule="auto"/>
        <w:ind w:left="0" w:firstLine="0"/>
        <w:jc w:val="both"/>
        <w:rPr>
          <w:sz w:val="24"/>
          <w:szCs w:val="24"/>
        </w:rPr>
      </w:pPr>
      <w:r w:rsidDel="00000000" w:rsidR="00000000" w:rsidRPr="00000000">
        <w:rPr>
          <w:sz w:val="24"/>
          <w:szCs w:val="24"/>
          <w:rtl w:val="0"/>
        </w:rPr>
        <w:t xml:space="preserve">É o relatório.</w:t>
      </w:r>
    </w:p>
    <w:p w:rsidR="00000000" w:rsidDel="00000000" w:rsidP="00000000" w:rsidRDefault="00000000" w:rsidRPr="00000000" w14:paraId="00000023">
      <w:pPr>
        <w:widowControl w:val="0"/>
        <w:spacing w:line="276" w:lineRule="auto"/>
        <w:jc w:val="both"/>
        <w:rPr>
          <w:color w:val="ff0000"/>
        </w:rPr>
      </w:pPr>
      <w:r w:rsidDel="00000000" w:rsidR="00000000" w:rsidRPr="00000000">
        <w:rPr>
          <w:rtl w:val="0"/>
        </w:rPr>
      </w:r>
    </w:p>
    <w:tbl>
      <w:tblPr>
        <w:tblStyle w:val="Table5"/>
        <w:tblpPr w:leftFromText="180" w:rightFromText="180" w:topFromText="180" w:bottomFromText="180" w:vertAnchor="text" w:horzAnchor="text" w:tblpX="41.39999389648438" w:tblpY="0"/>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p w:rsidR="00000000" w:rsidDel="00000000" w:rsidP="00000000" w:rsidRDefault="00000000" w:rsidRPr="00000000" w14:paraId="00000024">
            <w:pPr>
              <w:widowControl w:val="0"/>
              <w:spacing w:line="276" w:lineRule="auto"/>
              <w:jc w:val="center"/>
              <w:rPr>
                <w:b w:val="1"/>
                <w:bCs w:val="1"/>
                <w:sz w:val="24"/>
                <w:szCs w:val="24"/>
              </w:rPr>
            </w:pPr>
            <w:r w:rsidDel="00000000" w:rsidR="00000000" w:rsidRPr="00000000">
              <w:rPr>
                <w:b w:val="1"/>
                <w:bCs w:val="1"/>
                <w:sz w:val="24"/>
                <w:szCs w:val="24"/>
                <w:rtl w:val="0"/>
              </w:rPr>
              <w:t xml:space="preserve">VOTO</w:t>
            </w:r>
          </w:p>
        </w:tc>
      </w:tr>
    </w:tbl>
    <w:p w:rsidR="00000000" w:rsidDel="00000000" w:rsidP="00000000" w:rsidRDefault="00000000" w:rsidRPr="00000000" w14:paraId="00000025">
      <w:pPr>
        <w:spacing w:line="276" w:lineRule="auto"/>
        <w:jc w:val="both"/>
        <w:rPr>
          <w:color w:val="ff0000"/>
          <w:sz w:val="24"/>
          <w:szCs w:val="24"/>
        </w:rPr>
      </w:pPr>
      <w:r w:rsidDel="00000000" w:rsidR="00000000" w:rsidRPr="00000000">
        <w:rPr>
          <w:rtl w:val="0"/>
        </w:rPr>
      </w:r>
    </w:p>
    <w:p w:rsidR="00000000" w:rsidDel="00000000" w:rsidP="00000000" w:rsidRDefault="00000000" w:rsidRPr="00000000" w14:paraId="00000026">
      <w:pPr>
        <w:spacing w:line="276" w:lineRule="auto"/>
        <w:jc w:val="both"/>
        <w:rPr>
          <w:sz w:val="24"/>
          <w:szCs w:val="24"/>
        </w:rPr>
      </w:pPr>
      <w:r w:rsidDel="00000000" w:rsidR="00000000" w:rsidRPr="00000000">
        <w:rPr>
          <w:sz w:val="24"/>
          <w:szCs w:val="24"/>
          <w:rtl w:val="0"/>
        </w:rPr>
        <w:t xml:space="preserve">Como a auditoria apontou a ocorrência de sete irregularidades, passo a analisá-las de forma individual, como se segue:</w:t>
      </w:r>
    </w:p>
    <w:p w:rsidR="00000000" w:rsidDel="00000000" w:rsidP="00000000" w:rsidRDefault="00000000" w:rsidRPr="00000000" w14:paraId="0000002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2.1.1. Elaboração de plano de trabalho após a alocação de recursos por meio de emendas impositivas </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spacing w:after="200" w:lineRule="auto"/>
        <w:jc w:val="both"/>
        <w:rPr>
          <w:sz w:val="24"/>
          <w:szCs w:val="24"/>
        </w:rPr>
      </w:pPr>
      <w:r w:rsidDel="00000000" w:rsidR="00000000" w:rsidRPr="00000000">
        <w:rPr>
          <w:sz w:val="24"/>
          <w:szCs w:val="24"/>
          <w:rtl w:val="0"/>
        </w:rPr>
        <w:t xml:space="preserve">A equipe técnica constatou que os planos de trabalho das parcerias eram elaborados de forma intempestiva, muito tempo após a alocação dos recursos orçamentários pelos parlamentares. </w:t>
      </w:r>
    </w:p>
    <w:p w:rsidR="00000000" w:rsidDel="00000000" w:rsidP="00000000" w:rsidRDefault="00000000" w:rsidRPr="00000000" w14:paraId="0000002B">
      <w:pPr>
        <w:spacing w:after="200" w:lineRule="auto"/>
        <w:jc w:val="both"/>
        <w:rPr>
          <w:sz w:val="24"/>
          <w:szCs w:val="24"/>
        </w:rPr>
      </w:pPr>
      <w:r w:rsidDel="00000000" w:rsidR="00000000" w:rsidRPr="00000000">
        <w:rPr>
          <w:sz w:val="24"/>
          <w:szCs w:val="24"/>
          <w:rtl w:val="0"/>
        </w:rPr>
        <w:t xml:space="preserve">A Câmara Municipal apenas indicava a entidade beneficiária e o valor, sem qualquer detalhamento do objeto a ser executado. Tal prática, exemplificada pela Emenda nº 030/2022, cujo plano de trabalho foi apresentado 11 meses após a alocação, inverte a lógica do planejamento, gera risco de insuficiência orçamentária e viola o art. 16, § 1º, da Lei de Responsabilidade Fiscal (Lei Complementar nº 101/2000), que exige a demonstração da adequação orçamentária e financeira para a criação de despesa.</w:t>
      </w:r>
    </w:p>
    <w:p w:rsidR="00000000" w:rsidDel="00000000" w:rsidP="00000000" w:rsidRDefault="00000000" w:rsidRPr="00000000" w14:paraId="0000002C">
      <w:pPr>
        <w:spacing w:after="200" w:lineRule="auto"/>
        <w:jc w:val="both"/>
        <w:rPr>
          <w:sz w:val="24"/>
          <w:szCs w:val="24"/>
        </w:rPr>
      </w:pPr>
      <w:r w:rsidDel="00000000" w:rsidR="00000000" w:rsidRPr="00000000">
        <w:rPr>
          <w:b w:val="1"/>
          <w:bCs w:val="1"/>
          <w:sz w:val="24"/>
          <w:szCs w:val="24"/>
          <w:rtl w:val="0"/>
        </w:rPr>
        <w:t xml:space="preserve">Apesar da auditoria não ter apontado responsáveis, as defesas (FEDEPE e Ricardo Rocha Souto) ponturaram:</w:t>
      </w:r>
      <w:r w:rsidDel="00000000" w:rsidR="00000000" w:rsidRPr="00000000">
        <w:rPr>
          <w:rtl w:val="0"/>
        </w:rPr>
      </w:r>
    </w:p>
    <w:p w:rsidR="00000000" w:rsidDel="00000000" w:rsidP="00000000" w:rsidRDefault="00000000" w:rsidRPr="00000000" w14:paraId="0000002D">
      <w:pPr>
        <w:spacing w:after="200" w:lineRule="auto"/>
        <w:jc w:val="both"/>
        <w:rPr>
          <w:sz w:val="24"/>
          <w:szCs w:val="24"/>
        </w:rPr>
      </w:pPr>
      <w:r w:rsidDel="00000000" w:rsidR="00000000" w:rsidRPr="00000000">
        <w:rPr>
          <w:sz w:val="24"/>
          <w:szCs w:val="24"/>
          <w:rtl w:val="0"/>
        </w:rPr>
        <w:t xml:space="preserve">Os defendentes reconhecem a formalização posterior dos planos, mas atribuem o fato a "reorganizações internas e operacionais", alegando que não houve prejuízo, pois os planos foram aprovados antes da execução financeira. Invocam a ADI 7697/DF, na qual o STF teria assentado que o plano de trabalho visa garantir a compatibilidade com o programa orçamentário, o que, segundo eles, foi observado.</w:t>
      </w:r>
    </w:p>
    <w:p w:rsidR="00000000" w:rsidDel="00000000" w:rsidP="00000000" w:rsidRDefault="00000000" w:rsidRPr="00000000" w14:paraId="0000002E">
      <w:pPr>
        <w:spacing w:after="20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rtl w:val="0"/>
        </w:rPr>
      </w:r>
    </w:p>
    <w:p w:rsidR="00000000" w:rsidDel="00000000" w:rsidP="00000000" w:rsidRDefault="00000000" w:rsidRPr="00000000" w14:paraId="0000002F">
      <w:pPr>
        <w:spacing w:after="200" w:lineRule="auto"/>
        <w:jc w:val="both"/>
        <w:rPr>
          <w:sz w:val="24"/>
          <w:szCs w:val="24"/>
        </w:rPr>
      </w:pPr>
      <w:r w:rsidDel="00000000" w:rsidR="00000000" w:rsidRPr="00000000">
        <w:rPr>
          <w:sz w:val="24"/>
          <w:szCs w:val="24"/>
          <w:rtl w:val="0"/>
        </w:rPr>
        <w:t xml:space="preserve">A alegação de "reorganizações internas" é genérica e não justifica a subversão completa do ciclo de planejamento público. A alocação de recursos públicos não pode ser um "cheque em branco". É imperativo que, no momento da destinação orçamentária, haja um mínimo de clareza sobre o objeto, as metas e os custos envolvidos, para que a própria alocação seja racional. </w:t>
      </w:r>
    </w:p>
    <w:p w:rsidR="00000000" w:rsidDel="00000000" w:rsidP="00000000" w:rsidRDefault="00000000" w:rsidRPr="00000000" w14:paraId="00000030">
      <w:pPr>
        <w:spacing w:after="200" w:lineRule="auto"/>
        <w:jc w:val="both"/>
        <w:rPr>
          <w:sz w:val="24"/>
          <w:szCs w:val="24"/>
        </w:rPr>
      </w:pPr>
      <w:r w:rsidDel="00000000" w:rsidR="00000000" w:rsidRPr="00000000">
        <w:rPr>
          <w:sz w:val="24"/>
          <w:szCs w:val="24"/>
          <w:rtl w:val="0"/>
        </w:rPr>
        <w:t xml:space="preserve">A prática constatada ofende não apenas o art. 16 da LRF, mas também os princípios da eficiência e do planejamento, insculpidos no art. 37 da Constituição Federal. A decisão na ADI 7697/DF não chancela tal prática; ao contrário, reforça a necessidade de compatibilidade, o que pressupõe a existência prévia de um plano. </w:t>
      </w:r>
    </w:p>
    <w:p w:rsidR="00000000" w:rsidDel="00000000" w:rsidP="00000000" w:rsidRDefault="00000000" w:rsidRPr="00000000" w14:paraId="00000031">
      <w:pPr>
        <w:spacing w:after="200" w:lineRule="auto"/>
        <w:jc w:val="both"/>
        <w:rPr>
          <w:sz w:val="24"/>
          <w:szCs w:val="24"/>
        </w:rPr>
      </w:pPr>
      <w:r w:rsidDel="00000000" w:rsidR="00000000" w:rsidRPr="00000000">
        <w:rPr>
          <w:sz w:val="24"/>
          <w:szCs w:val="24"/>
          <w:rtl w:val="0"/>
        </w:rPr>
        <w:t xml:space="preserve">A irregularidade, de natureza formal-procedimental grave, compromete a racionalidade do gasto e deve ser coibida.</w:t>
      </w:r>
    </w:p>
    <w:p w:rsidR="00000000" w:rsidDel="00000000" w:rsidP="00000000" w:rsidRDefault="00000000" w:rsidRPr="00000000" w14:paraId="00000032">
      <w:pPr>
        <w:spacing w:after="240" w:before="240" w:lineRule="auto"/>
        <w:jc w:val="both"/>
        <w:rPr>
          <w:b w:val="1"/>
          <w:bCs w:val="1"/>
          <w:sz w:val="24"/>
          <w:szCs w:val="24"/>
        </w:rPr>
      </w:pPr>
      <w:r w:rsidDel="00000000" w:rsidR="00000000" w:rsidRPr="00000000">
        <w:rPr>
          <w:b w:val="1"/>
          <w:bCs w:val="1"/>
          <w:sz w:val="24"/>
          <w:szCs w:val="24"/>
          <w:rtl w:val="0"/>
        </w:rPr>
        <w:t xml:space="preserve">2.1.2. Indícios de Fraude na Alocação de Recursos Públicos (ASPE) </w:t>
      </w:r>
    </w:p>
    <w:p w:rsidR="00000000" w:rsidDel="00000000" w:rsidP="00000000" w:rsidRDefault="00000000" w:rsidRPr="00000000" w14:paraId="00000033">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alocação de recursos por meio da emenda parlamentar nº 02/2022, utilizando uma entidade destinatária cuja razão social foi dissimulada e que é presidida pelo Diretor de Esportes da Secretaria Especial de Esportes de Ipojuca, sem possuir a estrutura operacional necessária para o recebimento de recursos públicos, implicou em risco de execução irregular desses recursos [...] além de resultar na mobilização do Poder Executivo para a execução de emendas parlamentares com evidente impedimento de ordem técnica.</w:t>
      </w:r>
    </w:p>
    <w:p w:rsidR="00000000" w:rsidDel="00000000" w:rsidP="00000000" w:rsidRDefault="00000000" w:rsidRPr="00000000" w14:paraId="00000034">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Em relação à incompatibilidade do dirigente, tem-se que a entidade destinatária dos recursos é presidida por Marcelo Sodré Raposo [...], que é ocupante de cargo de direção na Secretaria de Esportes de Ipojuca.</w:t>
      </w:r>
    </w:p>
    <w:p w:rsidR="00000000" w:rsidDel="00000000" w:rsidP="00000000" w:rsidRDefault="00000000" w:rsidRPr="00000000" w14:paraId="00000035">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Além de ofensa a segregação de funções, a destinação de recursos para entidade privada presidida por servidor público é vedada pela Lei 13.019/2014.</w:t>
      </w:r>
    </w:p>
    <w:p w:rsidR="00000000" w:rsidDel="00000000" w:rsidP="00000000" w:rsidRDefault="00000000" w:rsidRPr="00000000" w14:paraId="0000003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auditoria realizou inspeção no local de funcionamento da associação [...] e não foi encontrado indício de funcionamento de nenhuma entidade no local, que estava à venda.</w:t>
      </w:r>
    </w:p>
    <w:p w:rsidR="00000000" w:rsidDel="00000000" w:rsidP="00000000" w:rsidRDefault="00000000" w:rsidRPr="00000000" w14:paraId="0000003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Após a alegação de impedimento de ordem técnica por parte do Poder Executivo, os recursos foram realocados [...] para a Associação Filhos do Ipojuca [...] [que] não tem qualquer expertise para execução de ações e serviços públicos de saúde.</w:t>
      </w:r>
    </w:p>
    <w:p w:rsidR="00000000" w:rsidDel="00000000" w:rsidP="00000000" w:rsidRDefault="00000000" w:rsidRPr="00000000" w14:paraId="0000003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Quem executa as atividades do projeto é o Instituto Rede Vhida [...] A Associação Filhos do Ipojuca deveria ter expertise para fiscalizar toda a operação nos termos do art. 35-A, II da Lei 13019/2014.</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Defesa dos Interessados (Vereadores):</w:t>
      </w:r>
      <w:r w:rsidDel="00000000" w:rsidR="00000000" w:rsidRPr="00000000">
        <w:rPr>
          <w:sz w:val="24"/>
          <w:szCs w:val="24"/>
          <w:rtl w:val="0"/>
        </w:rPr>
        <w:t xml:space="preserve"> </w:t>
      </w:r>
    </w:p>
    <w:p w:rsidR="00000000" w:rsidDel="00000000" w:rsidP="00000000" w:rsidRDefault="00000000" w:rsidRPr="00000000" w14:paraId="0000003A">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Preambularmente, cumpre salientar que as alegações contidas no Relatório de Auditoria não merecem prosperar, uma vez que cumpre aos Interessados, enquanto Vereadores Municipais de Ipojuca, tão somente realizar a destinação da Emenda Parlamentar Impositiva.</w:t>
      </w:r>
    </w:p>
    <w:p w:rsidR="00000000" w:rsidDel="00000000" w:rsidP="00000000" w:rsidRDefault="00000000" w:rsidRPr="00000000" w14:paraId="0000003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emendas auditadas não foram aprovadas, não tendo sequer ingressado no mundo jurídico.</w:t>
      </w:r>
    </w:p>
    <w:p w:rsidR="00000000" w:rsidDel="00000000" w:rsidP="00000000" w:rsidRDefault="00000000" w:rsidRPr="00000000" w14:paraId="0000003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Compete ao Vereador, unicamente, indicar as emendas conforme as necessidades do município, não lhe sendo atribuída a responsabilidade pelo controle legal, financeiro ou operacional de sua execução.</w:t>
      </w:r>
    </w:p>
    <w:p w:rsidR="00000000" w:rsidDel="00000000" w:rsidP="00000000" w:rsidRDefault="00000000" w:rsidRPr="00000000" w14:paraId="0000003D">
      <w:pPr>
        <w:spacing w:after="0" w:before="0" w:lineRule="auto"/>
        <w:ind w:left="2160" w:firstLine="0"/>
        <w:jc w:val="both"/>
        <w:rPr>
          <w:sz w:val="24"/>
          <w:szCs w:val="24"/>
        </w:rPr>
      </w:pPr>
      <w:r w:rsidDel="00000000" w:rsidR="00000000" w:rsidRPr="00000000">
        <w:rPr>
          <w:i w:val="1"/>
          <w:iCs w:val="1"/>
          <w:sz w:val="20"/>
          <w:szCs w:val="20"/>
          <w:rtl w:val="0"/>
        </w:rPr>
        <w:t xml:space="preserve">[...] Assim, é incorreto e desproporcional responsabilizar os parlamentares por escolherem um objeto que, futuramente, foi considerado inadequado por critérios discricionários da Administração.</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 tese defensiva de que a função parlamentar se exaure na mera indicação orçamentária não merece ser acolhida, visto que a prerrogativa de emendar não constitui salvo-conduto para a violação dos princípios da Moralidade e Impessoalidade.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A responsabilidade do parlamentar não se esgota na mera indicação; ela pressupõe um dever mínimo de diligência (culpa in eligendo), que foi flagrantemente ignorado. Destinar mais de R$ 5 milhões a uma entidade sem verificar sua existência ou a identidade de seu presidente não é um erro escusável, mas sim erro grosseiro, nos termos do art. 28 da LINDB.</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Verifico suposta negligência ao provocar uma falha documental ao indicar o CNPJ da “Associação de Skate de Pernambuco”, presidida pelo Sr. Marcelo Sodré Raposo, Diretor de Esportes de Ipojuca, cuja sigla "ASPE" é a mesma utilizada pela Associação  de Saúde, Esporte e Educação de Pernambuco -  representada em extenso na emenda. A escolha de uma associação sediada em imóvel à venda e presidida por Diretor de Esportes do município violou vedação objetiva de conflito de interesses e denotou a inexistência material da capacidade operacional da beneficiária.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 irregularidade agravou-se com a tentativa de realocação para a "Associação Filhos do Ipojuca", uma vez que a própria defesa confessa a ausência de expertise da signatária na área da saúde. Tal admissão comprova a afronta ao art. 35-A da Lei 13.019/2014, que exige da entidade celebrante capacidade técnica efetiva para supervisionar a rede, sendo proibido a utilização deste instituto para mera interposição de terceiros sem o devido know-how.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Por fim, improcede o argumento de impunibilidade por ausência de dano ao erário decorrente do bloqueio do repasse. Essa Corte de Contas detém competência para sancionar graves infrações à norma legal independentemente da consumação do prejuízo financeiro, pois a conduta dos parlamentares foi o ato-causa da irregularidade. A atuação preventiva do Executivo não elide a responsabilidade pela tentativa de direcionamento de recursos a entidade inapta, o que, por si só, atenta contra a ordem jurídica e a moralidade administrativa.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Dessa forma, mantenho a irregularidade apontada pela auditoria e responsabilizo os vereadores autores das emendas impositivas.</w:t>
      </w:r>
    </w:p>
    <w:p w:rsidR="00000000" w:rsidDel="00000000" w:rsidP="00000000" w:rsidRDefault="00000000" w:rsidRPr="00000000" w14:paraId="00000045">
      <w:pPr>
        <w:spacing w:after="240" w:before="240" w:lineRule="auto"/>
        <w:jc w:val="both"/>
        <w:rPr>
          <w:b w:val="1"/>
          <w:bCs w:val="1"/>
          <w:sz w:val="24"/>
          <w:szCs w:val="24"/>
        </w:rPr>
      </w:pPr>
      <w:r w:rsidDel="00000000" w:rsidR="00000000" w:rsidRPr="00000000">
        <w:rPr>
          <w:b w:val="1"/>
          <w:bCs w:val="1"/>
          <w:sz w:val="24"/>
          <w:szCs w:val="24"/>
          <w:rtl w:val="0"/>
        </w:rPr>
        <w:t xml:space="preserve">2.1.3. Aprovação de Plano de Trabalho Antieconômico</w:t>
      </w:r>
    </w:p>
    <w:p w:rsidR="00000000" w:rsidDel="00000000" w:rsidP="00000000" w:rsidRDefault="00000000" w:rsidRPr="00000000" w14:paraId="0000004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Devido à aprovação de plano de trabalho antieconômico, com elaboração de cotação de preço fabricada, ocorreu a execução de termo de fomento com valores de locação de bens superiores ao seu preço de compra.</w:t>
      </w:r>
    </w:p>
    <w:p w:rsidR="00000000" w:rsidDel="00000000" w:rsidP="00000000" w:rsidRDefault="00000000" w:rsidRPr="00000000" w14:paraId="0000004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Se os equipamentos fossem comprados em vez de alugados, haveria uma economia significativa. [...] Locação de Backdrop [...] R$ 336.540,00 [vs] Valor de Compra R$ 1.570,00.</w:t>
      </w:r>
    </w:p>
    <w:p w:rsidR="00000000" w:rsidDel="00000000" w:rsidP="00000000" w:rsidRDefault="00000000" w:rsidRPr="00000000" w14:paraId="0000004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cotação de preços de 24 itens distintos ter valor idêntico (até os centavos) ao valor alocado 10 meses antes é um indício contundente de que a cotação de preço foi fabricada.</w:t>
      </w:r>
    </w:p>
    <w:p w:rsidR="00000000" w:rsidDel="00000000" w:rsidP="00000000" w:rsidRDefault="00000000" w:rsidRPr="00000000" w14:paraId="00000049">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Obter o valor exato de R$514.846,15 distribuídos em 24 itens, em um processo espontâneo de cotação de preços, nove meses depois da alocação do recurso, é um claro indicativo de que os preços foram fabricados.</w:t>
      </w:r>
    </w:p>
    <w:p w:rsidR="00000000" w:rsidDel="00000000" w:rsidP="00000000" w:rsidRDefault="00000000" w:rsidRPr="00000000" w14:paraId="0000004A">
      <w:pPr>
        <w:spacing w:after="240" w:before="240" w:lineRule="auto"/>
        <w:jc w:val="both"/>
        <w:rPr>
          <w:b w:val="1"/>
          <w:bCs w:val="1"/>
          <w:sz w:val="24"/>
          <w:szCs w:val="24"/>
        </w:rPr>
      </w:pPr>
      <w:r w:rsidDel="00000000" w:rsidR="00000000" w:rsidRPr="00000000">
        <w:rPr>
          <w:b w:val="1"/>
          <w:bCs w:val="1"/>
          <w:sz w:val="24"/>
          <w:szCs w:val="24"/>
          <w:rtl w:val="0"/>
        </w:rPr>
        <w:t xml:space="preserve">Defesa dos Interessados (FEDEPE, Rio Maria, Servidores):</w:t>
      </w:r>
    </w:p>
    <w:p w:rsidR="00000000" w:rsidDel="00000000" w:rsidP="00000000" w:rsidRDefault="00000000" w:rsidRPr="00000000" w14:paraId="0000004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justificativas de preços apresentadas pela FEDEPE foram baseadas em cotações de mercado reais, emitidas por empresas legítimas.</w:t>
      </w:r>
    </w:p>
    <w:p w:rsidR="00000000" w:rsidDel="00000000" w:rsidP="00000000" w:rsidRDefault="00000000" w:rsidRPr="00000000" w14:paraId="0000004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propostas emitidas pela RIO MARIA foram feitas por solicitação formal ou informal de entidades executoras, como prática comum e legítima de cotação de mercado.</w:t>
      </w:r>
    </w:p>
    <w:p w:rsidR="00000000" w:rsidDel="00000000" w:rsidP="00000000" w:rsidRDefault="00000000" w:rsidRPr="00000000" w14:paraId="0000004D">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Sr. Jaílson [...] não detém qualquer formação técnica ou superior que o habilite a compreender, muito menos avaliar ou validar documentos complexos como planos de trabalho.</w:t>
      </w:r>
    </w:p>
    <w:p w:rsidR="00000000" w:rsidDel="00000000" w:rsidP="00000000" w:rsidRDefault="00000000" w:rsidRPr="00000000" w14:paraId="0000004E">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cargo de Diretor de Esportes está subordinado hierarquicamente ao cargo do Secretário Municipal [...] Sua função é o acompanhamento das ações que lhe são propostas e não a aprovação de qualquer projeto.</w:t>
      </w:r>
    </w:p>
    <w:p w:rsidR="00000000" w:rsidDel="00000000" w:rsidP="00000000" w:rsidRDefault="00000000" w:rsidRPr="00000000" w14:paraId="0000004F">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Como poderia uma assessora de divisão aprovar determinado procedimento e o Secretário apenas assentir? [...] Portanto, resta demonstrado que a Assessora de Divisão não possuia legitimidade para autorizar os planos de trabalho.</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A auditoria demonstrou a antieconomicidade dos planos de trabalho, com locações de bens em valores muitas vezes superiores ao preço de aquisição, e indícios de montagem de cotações, dada à coincidência exata de valores com as emendas parlamentares.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No tocante à responsabilização, entendo que assiste razão parcial às defesas dos servidores Joelma Morroquim de Medeiros, Jailson Francisco Trindade e Marcelo Sodré Raposo. A estrutura hierárquica e a natureza das funções exercidas (zeladoria, assessoria e direção subordinada) indicam que a capacidade decisória e a responsabilidade final pela aprovação dos planos recairiam sobre o Secretário da pasta, Sr. Danilo Alves Lins.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Contudo, observo que o referido Secretário não foi apontado como responsável por este achado específico no Relatório de Auditoria, o que inviabiliza sua sanção neste ponto sob pena de cerceamento de defesa. </w:t>
      </w:r>
    </w:p>
    <w:p w:rsidR="00000000" w:rsidDel="00000000" w:rsidP="00000000" w:rsidRDefault="00000000" w:rsidRPr="00000000" w14:paraId="00000054">
      <w:pPr>
        <w:spacing w:after="240" w:before="240" w:lineRule="auto"/>
        <w:jc w:val="both"/>
        <w:rPr>
          <w:sz w:val="24"/>
          <w:szCs w:val="24"/>
          <w:highlight w:val="red"/>
        </w:rPr>
      </w:pPr>
      <w:r w:rsidDel="00000000" w:rsidR="00000000" w:rsidRPr="00000000">
        <w:rPr>
          <w:sz w:val="24"/>
          <w:szCs w:val="24"/>
          <w:rtl w:val="0"/>
        </w:rPr>
        <w:t xml:space="preserve">Entretanto, a exclusão da culpa dos servidores subalternos não exime as entidades privadas que concorreram para a ilicitude. As empresas cotadoras e a FEDEPE participaram ativamente da fabricação de preços e se beneficiaram dos valores antieconômicos aprovados. Portanto, acolho as preliminares de ilegitimidade dos servidores Joelma, Jailson e Marcelo quanto a este item, mas mantenho a responsabilidade das empresas envolvidas e da FEDEPE, </w:t>
      </w:r>
      <w:r w:rsidDel="00000000" w:rsidR="00000000" w:rsidRPr="00000000">
        <w:rPr>
          <w:sz w:val="24"/>
          <w:szCs w:val="24"/>
          <w:highlight w:val="red"/>
          <w:rtl w:val="0"/>
        </w:rPr>
        <w:t xml:space="preserve">declarando sua inidoneidade diante da gravidade da fraude na composição de preços.</w:t>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2.1.4. Indícios de fraude na execução do plano de trabalho da Federação Pernambucana de Esportes Escolar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Houve a concentração da execução em quatro empresas [...] Para execução do projeto, a FEDEPE contou apenas com esses fornecedores.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atividade econômica principal da DeadLine é '90.01-9-02 - Produção musical' [...] foi realizada inspeção no local indicado nas notas fiscais, mas foi encontrado apenas um escritório de contabilidade.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MCS Produções foi criada alguns meses antes da execução do projeto [...] Para verificar a capacidade operacional da empresa, foi realizada uma inspeção [...] Ocorre que a equipe se deparou com um endereço residencial.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Há indícios de que a empresa Rio Maria Soluções e Serviços é controlada pelo Presidente da Federação de Esporte Escolar de Pernambuco, o Sr. Ricardo Rocha.</w:t>
      </w:r>
      <w:r w:rsidDel="00000000" w:rsidR="00000000" w:rsidRPr="00000000">
        <w:rPr>
          <w:rtl w:val="0"/>
        </w:rPr>
      </w:r>
    </w:p>
    <w:p w:rsidR="00000000" w:rsidDel="00000000" w:rsidP="00000000" w:rsidRDefault="00000000" w:rsidRPr="00000000" w14:paraId="0000005A">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i w:val="1"/>
          <w:iCs w:val="1"/>
          <w:sz w:val="20"/>
          <w:szCs w:val="20"/>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Todos os projetos executados pela FEDEPE foram realizados conforme pactuado, com: Relatórios fotográficos e audiovisuais.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RIO MARIA é empresa regularmente constituída [...] A empresa possui CNPJ ativo, sede física, quadro técnico capacitado.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Não assiste razão a equipe de auditoria ao apontar omissão do defendente [Cleiton] em sua atribuição de fiscal. Enquanto diligenciava o projeto, presenciou sua correta e efetiva execução.</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A auditoria traz elementos para demonstrar a contratação de empresas de fachada ou sem capacidade operacional compatível com o objeto (endereços residenciais, escritórios de contabilidade, CNAE divergente). A gravidade é acentuada pelos indícios de vínculo entre a empresa Rio Maria e a própria presidência da FEDEPE, configurando confusão patrimonial e direcionamento.</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As defesas apresentadas limitam-se a negar genericamente as fraudes ou alegar a entrega do objeto, sem, contudo, desconstituir as provas documentais e fotográficas da incapacidade operacional das contratadas.</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Diferentemente do item anterior, a participação do fiscal do contrato e do diretor de esportes na fase de execução e liquidação da despesa atrai sua responsabilidade direta. Assim, mantenho a irregularidade e a responsabilização de todos os imputados pela auditoria neste item.</w:t>
      </w:r>
    </w:p>
    <w:p w:rsidR="00000000" w:rsidDel="00000000" w:rsidP="00000000" w:rsidRDefault="00000000" w:rsidRPr="00000000" w14:paraId="00000062">
      <w:pPr>
        <w:spacing w:after="240" w:before="240" w:lineRule="auto"/>
        <w:jc w:val="both"/>
        <w:rPr>
          <w:b w:val="1"/>
          <w:bCs w:val="1"/>
          <w:sz w:val="24"/>
          <w:szCs w:val="24"/>
        </w:rPr>
      </w:pPr>
      <w:r w:rsidDel="00000000" w:rsidR="00000000" w:rsidRPr="00000000">
        <w:rPr>
          <w:b w:val="1"/>
          <w:bCs w:val="1"/>
          <w:sz w:val="24"/>
          <w:szCs w:val="24"/>
          <w:rtl w:val="0"/>
        </w:rPr>
        <w:t xml:space="preserve">2.1.5. Pagamento de tarifa bancária</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identificada a cobrança de tarifa bancária na conta de todos os termos de fomento da Federação de Esportes Escolar de Pernambuco (FEDEPE).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 acordo com o estabelecido no art. 51 da Lei 13019/2014, 'os recursos recebidos em decorrência da parceria serão depositados em conta corrente específica isenta de tarifa bancária'.</w:t>
      </w:r>
    </w:p>
    <w:p w:rsidR="00000000" w:rsidDel="00000000" w:rsidP="00000000" w:rsidRDefault="00000000" w:rsidRPr="00000000" w14:paraId="00000066">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(FEDEPE):</w:t>
      </w:r>
      <w:r w:rsidDel="00000000" w:rsidR="00000000" w:rsidRPr="00000000">
        <w:rPr>
          <w:i w:val="1"/>
          <w:iCs w:val="1"/>
          <w:sz w:val="20"/>
          <w:szCs w:val="20"/>
          <w:rtl w:val="0"/>
        </w:rPr>
        <w:t xml:space="preserve"> </w:t>
      </w:r>
    </w:p>
    <w:p w:rsidR="00000000" w:rsidDel="00000000" w:rsidP="00000000" w:rsidRDefault="00000000" w:rsidRPr="00000000" w14:paraId="00000067">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As tarifas bancárias observadas se referem a despesas regulares e necessárias à operacionalização financeira dos projetos </w:t>
      </w:r>
    </w:p>
    <w:p w:rsidR="00000000" w:rsidDel="00000000" w:rsidP="00000000" w:rsidRDefault="00000000" w:rsidRPr="00000000" w14:paraId="00000068">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É sabido que contas de projetos vinculados à Lei n. 13.019/2014 – Marco Regulatório das Organizações da Sociedade Civil, são obrigatoriamente isentas de qualquer taxação por parte do sistema bancário. Ainda assim ocorreu após diversas e constantes tentativas de tratativas sobre a temática, restando a FEDEPE, a devolução dos valores onde todas as tarifas debitadas que constam nos extratos foram restituídas e a sobra dos valores que constaram em conta devolvido ao erário público, conforme previsão dos Termos de fomento e da legislação.</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A legislação é clara quanto à vedação do uso de recursos da parceria para pagamento de tarifas bancárias. A defesa alega tentativas de isenção junto ao banco, mas não apresenta provas documentais dessas tratativas ou da efetiva devolução dos valores em conta, bem como da posterior devolução ao erário público.</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Dessa forma, sigo o entendimento da auditoria pela imputação do débito correspondente.</w:t>
      </w:r>
    </w:p>
    <w:p w:rsidR="00000000" w:rsidDel="00000000" w:rsidP="00000000" w:rsidRDefault="00000000" w:rsidRPr="00000000" w14:paraId="0000006C">
      <w:pPr>
        <w:spacing w:after="240" w:before="240" w:lineRule="auto"/>
        <w:jc w:val="both"/>
        <w:rPr>
          <w:b w:val="1"/>
          <w:bCs w:val="1"/>
          <w:sz w:val="24"/>
          <w:szCs w:val="24"/>
        </w:rPr>
      </w:pPr>
      <w:r w:rsidDel="00000000" w:rsidR="00000000" w:rsidRPr="00000000">
        <w:rPr>
          <w:b w:val="1"/>
          <w:bCs w:val="1"/>
          <w:sz w:val="24"/>
          <w:szCs w:val="24"/>
          <w:rtl w:val="0"/>
        </w:rPr>
        <w:t xml:space="preserve">2.1.6. Ausência de verificação de cumprimento das metas estabelecidas em plano de trabalho</w:t>
      </w:r>
    </w:p>
    <w:p w:rsidR="00000000" w:rsidDel="00000000" w:rsidP="00000000" w:rsidRDefault="00000000" w:rsidRPr="00000000" w14:paraId="0000006D">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Apesar de não atingir a meta quantitativa, no relatório de execução [...] a Federação de Esportes Escolar (FEDEPE) indica que atingiu a expectativa de participação.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total de 345 participantes representa 43,125% da meta quantitativa [de 800].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Deveriam ter sido glosados os valores relacionados a metas e resultados descumpridos [...] Confecção de medalha [...] Confecção de camisa [...] Glosa R$ 36.622,60.</w:t>
      </w:r>
    </w:p>
    <w:p w:rsidR="00000000" w:rsidDel="00000000" w:rsidP="00000000" w:rsidRDefault="00000000" w:rsidRPr="00000000" w14:paraId="00000071">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número de participantes apurado pela auditoria acaba sendo maior do que os que de fato participaram [...] O defendente opta por desconsiderar o 'benefício' do acréscimo concedido pela equipe de contas.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Observa-se que o primeiro lugar era inscrito com o número 275 [...] Uma verdadeira multidão de pessoas participando [...] Esse número também demonstrou ser bem superior aos 207 participantes alegados pela auditoria.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defendente não incorreu em qualquer ato de omissão passível de penalização [...] O defendente delineate em seu relatório a frequência de pessoas no evento [...] média de 85%.</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auditoria constatou, através de análise documental e resultados oficiais, que o número de participantes foi significativamente inferior ao pactuado (apenas cerca de 43% da meta). As fotos apresentadas pela defesa, embora mostrem aglomeração, não são suficientes para comprovar o atingimento da meta numérica contratada de 800 participantes diretos, tampouco justificam o pagamento integral de itens variáveis como medalhas e camisas, que deveriam ser pagos por unidade entregue. A ausência de glosa proporcional causou dano ao erário. A responsabilidade recai tanto sobre a entidade que recebeu por serviço não prestado integralmente quanto sobre os agentes públicos que atestaram a execução plena indevidamente. Sigo integralmente o entendimento da auditoria, mantendo a imputação do débito e a aplicação de multas aos responsáveis apontados.</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2.1.7. Execução irregular de emendas destinadas a Federação de Esporte Escolar de Pernambuco em 2024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Devido à antecipação da execução orçamentária das emendas impositivas [...] ocorreu o descumprimento da medida cautelar nº 24101091-3.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pagamentos dos termos de fomento foram realizados em sua integralidade em um curto intervalo de tempo. Não há relação entre a liberação dos recursos e as metas estabelecidas.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acelerada a execução das emendas, com antecipação do cronograma de execução.</w:t>
      </w:r>
    </w:p>
    <w:p w:rsidR="00000000" w:rsidDel="00000000" w:rsidP="00000000" w:rsidRDefault="00000000" w:rsidRPr="00000000" w14:paraId="0000007B">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(Célia Sales):</w:t>
      </w:r>
      <w:r w:rsidDel="00000000" w:rsidR="00000000" w:rsidRPr="00000000">
        <w:rPr>
          <w:i w:val="1"/>
          <w:iCs w:val="1"/>
          <w:sz w:val="20"/>
          <w:szCs w:val="20"/>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valores foram repassados ainda nos meses de junho e julho de 2024, ao passo em que a decisão apenas fora notificada por e-mail em 21 de novembro de 2024.</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Não houve uma tentativa de antecipação das datas para a realização do evento [...] A conclusão dos eventos até a data final de 31/12/2024, deu-se em razão do fim do ano e por ser o último dia do mandato.</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Ainda que os repasses financeiros tenham ocorrido antes da notificação formal da cautelar, a gestão tinha o dever de cautela diante dos apontamentos de irregularidades graves já existentes e de conhecimento público. Ademais, a execução física acelerada e o pagamento integral antecipado, dissociado das etapas de execução, violam a Lei 13.019/2014 e caracterizam a intenção de frustrar a eficácia do controle externo. A conduta da gestora ao permitir a execução total em cenário de grave suspeita de fraude, ignorando os princípios da prudência e da legalidade, configura erro grosseiro. Sigo o entendimento da auditoria, responsabilizando a ex-prefeita Célia Agostinho Lins de Sales.</w:t>
      </w:r>
    </w:p>
    <w:p w:rsidR="00000000" w:rsidDel="00000000" w:rsidP="00000000" w:rsidRDefault="00000000" w:rsidRPr="00000000" w14:paraId="00000080">
      <w:pPr>
        <w:spacing w:after="240" w:before="240" w:lineRule="auto"/>
        <w:jc w:val="both"/>
        <w:rPr>
          <w:b w:val="1"/>
          <w:bCs w:val="1"/>
          <w:sz w:val="24"/>
          <w:szCs w:val="24"/>
        </w:rPr>
      </w:pPr>
      <w:r w:rsidDel="00000000" w:rsidR="00000000" w:rsidRPr="00000000">
        <w:rPr>
          <w:b w:val="1"/>
          <w:bCs w:val="1"/>
          <w:sz w:val="24"/>
          <w:szCs w:val="24"/>
          <w:rtl w:val="0"/>
        </w:rPr>
        <w:t xml:space="preserve">6. DECISÃO</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0"/>
          <w:sz w:val="24"/>
          <w:szCs w:val="24"/>
          <w:rtl w:val="0"/>
        </w:rPr>
      </w:r>
    </w:p>
    <w:p>
      <w:pPr>
        <w:jc w:val="both"/>
      </w:pPr>
      <w:r>
        <w:rPr>
          <w:rFonts w:ascii="Arial" w:hAnsi="Arial"/>
          <w:b w:val="0"/>
          <w:i w:val="0"/>
          <w:sz w:val="24"/>
        </w:rPr>
        <w:t>Teste de texto novo para confirmar que a rota funciona corretamente.</w:t>
      </w:r>
    </w:p>
    <w:p>
      <w:pPr>
        <w:jc w:val="both"/>
      </w:pPr>
      <w:r>
        <w:rPr>
          <w:rFonts w:ascii="Arial" w:hAnsi="Arial"/>
          <w:b/>
          <w:i w:val="0"/>
          <w:sz w:val="24"/>
        </w:rPr>
        <w:t>CONSIDERANDO que a redução do prazo de publicação no Convite nº 03/2022 não prejudicou a competitividade, tratando-se de mera repetição de certame deserto sem alteração de edital;</w:t>
      </w:r>
    </w:p>
    <w:p>
      <w:pPr>
        <w:jc w:val="both"/>
      </w:pPr>
      <w:r>
        <w:rPr>
          <w:rFonts w:ascii="Arial" w:hAnsi="Arial"/>
          <w:b/>
          <w:i w:val="0"/>
          <w:sz w:val="24"/>
        </w:rPr>
        <w:t>CONSIDERANDO que o acréscimo de valor no contrato de eventos respeitou o limite legal de 25% para aditivos e que o enquadramento da modalidade licitatória seguiu o valor estimado original;</w:t>
      </w:r>
    </w:p>
    <w:p>
      <w:pPr>
        <w:jc w:val="both"/>
      </w:pPr>
      <w:r>
        <w:rPr>
          <w:rFonts w:ascii="Arial" w:hAnsi="Arial"/>
          <w:b/>
          <w:i w:val="0"/>
          <w:sz w:val="24"/>
        </w:rPr>
        <w:t>CONSIDERANDO que as divergências quantitativas de diárias foram justificadas pela utilização de estruturas duplas e simultâneas durante os eventos festivos;</w:t>
      </w:r>
    </w:p>
    <w:p>
      <w:pPr>
        <w:jc w:val="both"/>
      </w:pPr>
      <w:r>
        <w:rPr>
          <w:rFonts w:ascii="Arial" w:hAnsi="Arial"/>
          <w:b/>
          <w:i w:val="0"/>
          <w:sz w:val="24"/>
        </w:rPr>
        <w:t>CONSIDERANDO que a acusação de sobrepreço carece de fundamento técnico, pois utilizou como parâmetro uma licitação revogada por erro na formação de preços;</w:t>
      </w:r>
    </w:p>
    <w:p>
      <w:pPr>
        <w:jc w:val="both"/>
      </w:pPr>
      <w:r>
        <w:rPr>
          <w:rFonts w:ascii="Arial" w:hAnsi="Arial"/>
          <w:b/>
          <w:i w:val="0"/>
          <w:sz w:val="24"/>
        </w:rPr>
        <w:t>CONSIDERANDO a apresentação de documentos comprobatórios de fiscalização que elidem a omissão apontada inicialmente;</w:t>
      </w:r>
    </w:p>
    <w:p>
      <w:pPr>
        <w:jc w:val="both"/>
      </w:pPr>
      <w:r>
        <w:rPr>
          <w:rFonts w:ascii="Arial" w:hAnsi="Arial"/>
          <w:b/>
          <w:i w:val="0"/>
          <w:sz w:val="24"/>
        </w:rPr>
        <w:t>CONSIDERANDO o disposto nos artigos 70 e 71 da CF, e nos artigos 59, III, b, 70, 71 e 73, I e III, da Lei Estadual nº 12.600/2004 (Lei Orgânica do TCE-PE).</w:t>
      </w:r>
    </w:p>
    <w:p>
      <w:pPr>
        <w:jc w:val="both"/>
      </w:pPr>
      <w:r>
        <w:rPr>
          <w:rFonts w:ascii="Arial" w:hAnsi="Arial"/>
          <w:b w:val="0"/>
          <w:i w:val="0"/>
          <w:sz w:val="24"/>
        </w:rPr>
        <w:t>VOTO por:</w:t>
      </w:r>
    </w:p>
    <w:p>
      <w:pPr>
        <w:jc w:val="both"/>
      </w:pPr>
      <w:r>
        <w:rPr>
          <w:rFonts w:ascii="Arial" w:hAnsi="Arial"/>
          <w:b/>
          <w:i w:val="0"/>
          <w:sz w:val="24"/>
        </w:rPr>
        <w:t>I. JULGAR REGULARES COM RESSALVAS as contas dos interessados no âmbito desta Auditoria Especial;</w:t>
      </w:r>
    </w:p>
    <w:p>
      <w:pPr>
        <w:jc w:val="both"/>
      </w:pPr>
      <w:r>
        <w:rPr>
          <w:rFonts w:ascii="Arial" w:hAnsi="Arial"/>
          <w:b/>
          <w:i w:val="0"/>
          <w:sz w:val="24"/>
        </w:rPr>
        <w:t>II. NÃO APLICAR MULTA ou imputar débito, ante a ausência de dano ao erário e a observância dos princípios da razoabilidade e proporcionalidade (Art. 22 da LINDB);</w:t>
      </w:r>
    </w:p>
    <w:p>
      <w:pPr>
        <w:jc w:val="both"/>
      </w:pPr>
      <w:r>
        <w:rPr>
          <w:rFonts w:ascii="Arial" w:hAnsi="Arial"/>
          <w:b/>
          <w:i w:val="0"/>
          <w:sz w:val="24"/>
        </w:rPr>
        <w:t>III. RECOMENDAR à Prefeitura Municipal de Inajá que, em futuras contratações de eventos, detalhe no termo de referência a forma de medição por equipamento/diária para evitar dúvidas sobre o quantitativo total utilizado;</w:t>
      </w:r>
    </w:p>
    <w:p>
      <w:pPr>
        <w:jc w:val="both"/>
      </w:pPr>
      <w:r>
        <w:rPr>
          <w:rFonts w:ascii="Arial" w:hAnsi="Arial"/>
          <w:b/>
          <w:i w:val="0"/>
          <w:sz w:val="24"/>
        </w:rPr>
        <w:t>IV. DETERMINAR que o setor de controle interno do município assegure que todos os boletins de medição e checklists de fiscalização estejam fisicamente ou digitalmente anexados aos processos de pagamento antes de qualquer liquidação de despesa;</w:t>
      </w:r>
    </w:p>
    <w:p>
      <w:pPr>
        <w:jc w:val="both"/>
      </w:pPr>
      <w:r>
        <w:rPr>
          <w:rFonts w:ascii="Arial" w:hAnsi="Arial"/>
          <w:b/>
          <w:i w:val="0"/>
          <w:sz w:val="24"/>
        </w:rPr>
        <w:t>V. DAR CIÊNCIA desta decisão aos interessados e ao atual gestor da Unidade Jurisdicionada.</w:t>
      </w:r>
    </w:p>
    <w:p w:rsidR="00000000" w:rsidDel="00000000" w:rsidP="00000000" w:rsidRDefault="00000000" w:rsidRPr="00000000" w14:paraId="0000008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JULGAR IRREGULARES</w:t>
      </w:r>
      <w:r w:rsidDel="00000000" w:rsidR="00000000" w:rsidRPr="00000000">
        <w:rPr>
          <w:sz w:val="24"/>
          <w:szCs w:val="24"/>
          <w:rtl w:val="0"/>
        </w:rPr>
        <w:t xml:space="preserve"> as contas objeto da presente Auditoria Especial de Conformidade, referente ao exercício de 2023.</w:t>
      </w:r>
    </w:p>
    <w:p w:rsidR="00000000" w:rsidDel="00000000" w:rsidP="00000000" w:rsidRDefault="00000000" w:rsidRPr="00000000" w14:paraId="0000008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IMPUTAR DÉBITO</w:t>
      </w:r>
      <w:r w:rsidDel="00000000" w:rsidR="00000000" w:rsidRPr="00000000">
        <w:rPr>
          <w:sz w:val="24"/>
          <w:szCs w:val="24"/>
          <w:rtl w:val="0"/>
        </w:rPr>
        <w:t xml:space="preserve"> solidário à Federação do Esporte Escolar de Pernambuco - FEDEPE e aos ordenadores de despesa responsáveis, no valor de </w:t>
      </w:r>
      <w:r w:rsidDel="00000000" w:rsidR="00000000" w:rsidRPr="00000000">
        <w:rPr>
          <w:b w:val="1"/>
          <w:bCs w:val="1"/>
          <w:sz w:val="24"/>
          <w:szCs w:val="24"/>
          <w:rtl w:val="0"/>
        </w:rPr>
        <w:t xml:space="preserve">R$ 4.425,00</w:t>
      </w:r>
      <w:r w:rsidDel="00000000" w:rsidR="00000000" w:rsidRPr="00000000">
        <w:rPr>
          <w:sz w:val="24"/>
          <w:szCs w:val="24"/>
          <w:rtl w:val="0"/>
        </w:rPr>
        <w:t xml:space="preserve"> (referente a tarifas bancárias) e </w:t>
      </w:r>
      <w:r w:rsidDel="00000000" w:rsidR="00000000" w:rsidRPr="00000000">
        <w:rPr>
          <w:b w:val="1"/>
          <w:bCs w:val="1"/>
          <w:sz w:val="24"/>
          <w:szCs w:val="24"/>
          <w:rtl w:val="0"/>
        </w:rPr>
        <w:t xml:space="preserve">R$ 36.622,60</w:t>
      </w:r>
      <w:r w:rsidDel="00000000" w:rsidR="00000000" w:rsidRPr="00000000">
        <w:rPr>
          <w:sz w:val="24"/>
          <w:szCs w:val="24"/>
          <w:rtl w:val="0"/>
        </w:rPr>
        <w:t xml:space="preserve"> (referente à inexecução de metas quantitativas não glosadas), valores que deverão ser atualizados monetariamente.</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APLICAR MULTA</w:t>
      </w:r>
      <w:r w:rsidDel="00000000" w:rsidR="00000000" w:rsidRPr="00000000">
        <w:rPr>
          <w:sz w:val="24"/>
          <w:szCs w:val="24"/>
          <w:rtl w:val="0"/>
        </w:rPr>
        <w:t xml:space="preserve"> prevista no art. 73 da Lei Estadual nº 12.600/2004: a) Aos Vereadores autores das emendas impositivas (Abel Franco Damascena, Adilma Barbosa Lacerda dos Santos, Eduardo Cleiton de Santana, Flávio Henrique do Rego Souza, Genival Ferreira da Silva, João Vasconcelos da Silva, Júlio José dos Santos Neto, Paulo Henrique Gonçalves Bezerra, Ricardo José de Souza e Washington Antonio da Silva), pela indicação de entidade inapta e com fraude na alocação de recursos (item 2.1.2). b) Aos Srs. Cleiton Henrique da Silva, Marcelo Sodré Raposo e à Sra. Célia Agostinho Lins de Sales, pelas irregularidades na execução, fiscalização e descumprimento de cautelar (itens 2.1.4, 2.1.6 e 2.1.7).</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DECLARAR A INIDONEIDADE</w:t>
      </w:r>
      <w:r w:rsidDel="00000000" w:rsidR="00000000" w:rsidRPr="00000000">
        <w:rPr>
          <w:sz w:val="24"/>
          <w:szCs w:val="24"/>
          <w:rtl w:val="0"/>
        </w:rPr>
        <w:t xml:space="preserve">, pelo prazo de 05 (cinco) anos, para contratar com a Administração Pública Estadual e Municipal: a) Da </w:t>
      </w:r>
      <w:r w:rsidDel="00000000" w:rsidR="00000000" w:rsidRPr="00000000">
        <w:rPr>
          <w:b w:val="1"/>
          <w:bCs w:val="1"/>
          <w:sz w:val="24"/>
          <w:szCs w:val="24"/>
          <w:rtl w:val="0"/>
        </w:rPr>
        <w:t xml:space="preserve">Federação do Esporte Escolar de Pernambuco - FEDEPE</w:t>
      </w:r>
      <w:r w:rsidDel="00000000" w:rsidR="00000000" w:rsidRPr="00000000">
        <w:rPr>
          <w:sz w:val="24"/>
          <w:szCs w:val="24"/>
          <w:rtl w:val="0"/>
        </w:rPr>
        <w:t xml:space="preserve">; b) Das empresas </w:t>
      </w:r>
      <w:r w:rsidDel="00000000" w:rsidR="00000000" w:rsidRPr="00000000">
        <w:rPr>
          <w:b w:val="1"/>
          <w:bCs w:val="1"/>
          <w:sz w:val="24"/>
          <w:szCs w:val="24"/>
          <w:rtl w:val="0"/>
        </w:rPr>
        <w:t xml:space="preserve">Rio Maria Soluções e Serviços Ltda</w:t>
      </w:r>
      <w:r w:rsidDel="00000000" w:rsidR="00000000" w:rsidRPr="00000000">
        <w:rPr>
          <w:sz w:val="24"/>
          <w:szCs w:val="24"/>
          <w:rtl w:val="0"/>
        </w:rPr>
        <w:t xml:space="preserve">, </w:t>
      </w:r>
      <w:r w:rsidDel="00000000" w:rsidR="00000000" w:rsidRPr="00000000">
        <w:rPr>
          <w:b w:val="1"/>
          <w:bCs w:val="1"/>
          <w:sz w:val="24"/>
          <w:szCs w:val="24"/>
          <w:rtl w:val="0"/>
        </w:rPr>
        <w:t xml:space="preserve">Fabrica de Producoes e Eventos Ltda</w:t>
      </w:r>
      <w:r w:rsidDel="00000000" w:rsidR="00000000" w:rsidRPr="00000000">
        <w:rPr>
          <w:sz w:val="24"/>
          <w:szCs w:val="24"/>
          <w:rtl w:val="0"/>
        </w:rPr>
        <w:t xml:space="preserve">, </w:t>
      </w:r>
      <w:r w:rsidDel="00000000" w:rsidR="00000000" w:rsidRPr="00000000">
        <w:rPr>
          <w:b w:val="1"/>
          <w:bCs w:val="1"/>
          <w:sz w:val="24"/>
          <w:szCs w:val="24"/>
          <w:rtl w:val="0"/>
        </w:rPr>
        <w:t xml:space="preserve">Rotta Entretenimento Ltda</w:t>
      </w:r>
      <w:r w:rsidDel="00000000" w:rsidR="00000000" w:rsidRPr="00000000">
        <w:rPr>
          <w:sz w:val="24"/>
          <w:szCs w:val="24"/>
          <w:rtl w:val="0"/>
        </w:rPr>
        <w:t xml:space="preserve"> e </w:t>
      </w:r>
      <w:r w:rsidDel="00000000" w:rsidR="00000000" w:rsidRPr="00000000">
        <w:rPr>
          <w:b w:val="1"/>
          <w:bCs w:val="1"/>
          <w:sz w:val="24"/>
          <w:szCs w:val="24"/>
          <w:rtl w:val="0"/>
        </w:rPr>
        <w:t xml:space="preserve">Idea Produções e Locações de Estruturas e Iluminação Ltda</w:t>
      </w:r>
      <w:r w:rsidDel="00000000" w:rsidR="00000000" w:rsidRPr="00000000">
        <w:rPr>
          <w:sz w:val="24"/>
          <w:szCs w:val="24"/>
          <w:rtl w:val="0"/>
        </w:rPr>
        <w:t xml:space="preserve">, pela participação em fraude nas cotações e execução contratual.</w:t>
      </w:r>
    </w:p>
    <w:p w:rsidR="00000000" w:rsidDel="00000000" w:rsidP="00000000" w:rsidRDefault="00000000" w:rsidRPr="00000000" w14:paraId="0000008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DETERMINAR</w:t>
      </w:r>
      <w:r w:rsidDel="00000000" w:rsidR="00000000" w:rsidRPr="00000000">
        <w:rPr>
          <w:sz w:val="24"/>
          <w:szCs w:val="24"/>
          <w:rtl w:val="0"/>
        </w:rPr>
        <w:t xml:space="preserve"> à atual gestão da Prefeitura Municipal de Ipojuca que se abstenha de celebrar novos termos de fomento ou colaboração com as entidades declaradas inidôneas e que aprimore os controles internos para verificação da capacidade operacional das OSCs parceiras.</w:t>
      </w:r>
    </w:p>
    <w:p w:rsidR="00000000" w:rsidDel="00000000" w:rsidP="00000000" w:rsidRDefault="00000000" w:rsidRPr="00000000" w14:paraId="00000087">
      <w:pPr>
        <w:spacing w:line="276"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276" w:lineRule="auto"/>
        <w:ind w:left="0" w:firstLine="0"/>
        <w:jc w:val="both"/>
        <w:rPr>
          <w:sz w:val="24"/>
          <w:szCs w:val="24"/>
        </w:rPr>
      </w:pPr>
      <w:r w:rsidDel="00000000" w:rsidR="00000000" w:rsidRPr="00000000">
        <w:rPr>
          <w:sz w:val="24"/>
          <w:szCs w:val="24"/>
          <w:rtl w:val="0"/>
        </w:rPr>
        <w:t xml:space="preserve">Deste modo,</w:t>
      </w:r>
    </w:p>
    <w:p w:rsidR="00000000" w:rsidDel="00000000" w:rsidP="00000000" w:rsidRDefault="00000000" w:rsidRPr="00000000" w14:paraId="00000089">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8A">
      <w:pPr>
        <w:widowControl w:val="0"/>
        <w:spacing w:line="276" w:lineRule="auto"/>
        <w:jc w:val="both"/>
        <w:rPr>
          <w:sz w:val="24"/>
          <w:szCs w:val="24"/>
        </w:rPr>
      </w:pPr>
      <w:r w:rsidDel="00000000" w:rsidR="00000000" w:rsidRPr="00000000">
        <w:rPr>
          <w:sz w:val="24"/>
          <w:szCs w:val="24"/>
          <w:rtl w:val="0"/>
        </w:rPr>
        <w:t xml:space="preserve">Voto no sentido de:</w:t>
      </w:r>
    </w:p>
    <w:p w:rsidR="00000000" w:rsidDel="00000000" w:rsidP="00000000" w:rsidRDefault="00000000" w:rsidRPr="00000000" w14:paraId="0000008B">
      <w:pPr>
        <w:widowControl w:val="0"/>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widowControl w:val="0"/>
        <w:spacing w:after="240" w:before="240" w:line="276" w:lineRule="auto"/>
        <w:jc w:val="both"/>
        <w:rPr>
          <w:sz w:val="24"/>
          <w:szCs w:val="24"/>
        </w:rPr>
      </w:pPr>
      <w:r w:rsidDel="00000000" w:rsidR="00000000" w:rsidRPr="00000000">
        <w:rPr>
          <w:b w:val="1"/>
          <w:bCs w:val="1"/>
          <w:sz w:val="24"/>
          <w:szCs w:val="24"/>
          <w:rtl w:val="0"/>
        </w:rPr>
        <w:t xml:space="preserve">CONSIDERANDO</w:t>
      </w:r>
      <w:r w:rsidDel="00000000" w:rsidR="00000000" w:rsidRPr="00000000">
        <w:rPr>
          <w:sz w:val="24"/>
          <w:szCs w:val="24"/>
          <w:rtl w:val="0"/>
        </w:rPr>
        <w:t xml:space="preserve"> os termos do Relatório de Auditoria e as defesas apresentadas;</w:t>
      </w:r>
    </w:p>
    <w:p w:rsidR="00000000" w:rsidDel="00000000" w:rsidP="00000000" w:rsidRDefault="00000000" w:rsidRPr="00000000" w14:paraId="0000008D">
      <w:pPr>
        <w:widowControl w:val="0"/>
        <w:spacing w:before="240" w:line="276" w:lineRule="auto"/>
        <w:jc w:val="both"/>
        <w:rPr>
          <w:color w:val="ff0000"/>
          <w:sz w:val="24"/>
          <w:szCs w:val="24"/>
        </w:rPr>
      </w:pPr>
      <w:r w:rsidDel="00000000" w:rsidR="00000000" w:rsidRPr="00000000">
        <w:rPr>
          <w:b w:val="1"/>
          <w:bCs w:val="1"/>
          <w:sz w:val="24"/>
          <w:szCs w:val="24"/>
          <w:rtl w:val="0"/>
        </w:rPr>
        <w:t xml:space="preserve">CONSIDERANDO </w:t>
      </w:r>
      <w:r w:rsidDel="00000000" w:rsidR="00000000" w:rsidRPr="00000000">
        <w:rPr>
          <w:rtl w:val="0"/>
        </w:rPr>
      </w:r>
    </w:p>
    <w:p w:rsidR="00000000" w:rsidDel="00000000" w:rsidP="00000000" w:rsidRDefault="00000000" w:rsidRPr="00000000" w14:paraId="0000008E">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8F">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before="240" w:line="276" w:lineRule="auto"/>
        <w:jc w:val="both"/>
        <w:rPr>
          <w:b w:val="1"/>
          <w:bCs w:val="1"/>
          <w:color w:val="ff0000"/>
          <w:sz w:val="24"/>
          <w:szCs w:val="24"/>
          <w:highlight w:val="white"/>
        </w:rPr>
      </w:pPr>
      <w:r w:rsidDel="00000000" w:rsidR="00000000" w:rsidRPr="00000000">
        <w:rPr>
          <w:b w:val="1"/>
          <w:bCs w:val="1"/>
          <w:color w:val="ff0000"/>
          <w:sz w:val="24"/>
          <w:szCs w:val="24"/>
          <w:highlight w:val="white"/>
          <w:rtl w:val="0"/>
        </w:rPr>
        <w:t xml:space="preserve">JULGAR regular, com ressalvas</w:t>
      </w:r>
    </w:p>
    <w:p w:rsidR="00000000" w:rsidDel="00000000" w:rsidP="00000000" w:rsidRDefault="00000000" w:rsidRPr="00000000" w14:paraId="00000091">
      <w:pPr>
        <w:widowControl w:val="0"/>
        <w:spacing w:before="240" w:line="276" w:lineRule="auto"/>
        <w:jc w:val="both"/>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76" w:lineRule="auto"/>
        <w:jc w:val="both"/>
        <w:rPr>
          <w:color w:val="ff0000"/>
          <w:sz w:val="24"/>
          <w:szCs w:val="24"/>
        </w:rPr>
      </w:pPr>
      <w:r w:rsidDel="00000000" w:rsidR="00000000" w:rsidRPr="00000000">
        <w:rPr>
          <w:b w:val="1"/>
          <w:bCs w:val="1"/>
          <w:color w:val="ff0000"/>
          <w:sz w:val="24"/>
          <w:szCs w:val="24"/>
          <w:highlight w:val="white"/>
          <w:rtl w:val="0"/>
        </w:rPr>
        <w:t xml:space="preserve">RECOMENDAR</w:t>
      </w:r>
      <w:r w:rsidDel="00000000" w:rsidR="00000000" w:rsidRPr="00000000">
        <w:rPr>
          <w:color w:val="ff0000"/>
          <w:highlight w:val="white"/>
          <w:rtl w:val="0"/>
        </w:rPr>
        <w:t xml:space="preserve">,</w:t>
      </w:r>
      <w:r w:rsidDel="00000000" w:rsidR="00000000" w:rsidRPr="00000000">
        <w:rPr>
          <w:color w:val="ff0000"/>
          <w:sz w:val="24"/>
          <w:szCs w:val="24"/>
          <w:highlight w:val="white"/>
          <w:rtl w:val="0"/>
        </w:rPr>
        <w:t xml:space="preserve"> com base no disposto no art. 69, c/c o art. 70, V, ambos da Lei Estadual nº 12.600/2004,</w:t>
      </w:r>
      <w:r w:rsidDel="00000000" w:rsidR="00000000" w:rsidRPr="00000000">
        <w:rPr>
          <w:color w:val="ff0000"/>
          <w:sz w:val="24"/>
          <w:szCs w:val="24"/>
          <w:rtl w:val="0"/>
        </w:rPr>
        <w:t xml:space="preserve"> aos atuais gestores do(a) xxxxxxxxxx, ou a quem vier a sucedê-los, que adotem as seguintes providências:</w:t>
      </w:r>
    </w:p>
    <w:p w:rsidR="00000000" w:rsidDel="00000000" w:rsidP="00000000" w:rsidRDefault="00000000" w:rsidRPr="00000000" w14:paraId="00000093">
      <w:pPr>
        <w:widowControl w:val="0"/>
        <w:spacing w:line="276" w:lineRule="auto"/>
        <w:jc w:val="both"/>
        <w:rPr>
          <w:color w:val="ff0000"/>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76" w:lineRule="auto"/>
        <w:jc w:val="both"/>
        <w:rPr>
          <w:color w:val="ff0000"/>
          <w:sz w:val="24"/>
          <w:szCs w:val="24"/>
          <w:highlight w:val="white"/>
        </w:rPr>
      </w:pPr>
      <w:r w:rsidDel="00000000" w:rsidR="00000000" w:rsidRPr="00000000">
        <w:rPr>
          <w:color w:val="ff0000"/>
          <w:sz w:val="24"/>
          <w:szCs w:val="24"/>
          <w:highlight w:val="white"/>
          <w:rtl w:val="0"/>
        </w:rPr>
        <w:t xml:space="preserve">1- Ad</w:t>
      </w:r>
    </w:p>
    <w:p w:rsidR="00000000" w:rsidDel="00000000" w:rsidP="00000000" w:rsidRDefault="00000000" w:rsidRPr="00000000" w14:paraId="00000095">
      <w:pPr>
        <w:widowControl w:val="0"/>
        <w:spacing w:line="276" w:lineRule="auto"/>
        <w:jc w:val="both"/>
        <w:rPr>
          <w:color w:val="ff0000"/>
          <w:sz w:val="24"/>
          <w:szCs w:val="24"/>
        </w:rPr>
      </w:pPr>
      <w:r w:rsidDel="00000000" w:rsidR="00000000" w:rsidRPr="00000000">
        <w:rPr>
          <w:color w:val="ff0000"/>
          <w:sz w:val="24"/>
          <w:szCs w:val="24"/>
          <w:highlight w:val="white"/>
          <w:rtl w:val="0"/>
        </w:rPr>
        <w:t xml:space="preserve"> </w:t>
      </w:r>
      <w:r w:rsidDel="00000000" w:rsidR="00000000" w:rsidRPr="00000000">
        <w:rPr>
          <w:rtl w:val="0"/>
        </w:rPr>
      </w:r>
    </w:p>
    <w:p w:rsidR="00000000" w:rsidDel="00000000" w:rsidP="00000000" w:rsidRDefault="00000000" w:rsidRPr="00000000" w14:paraId="00000096">
      <w:pPr>
        <w:widowControl w:val="0"/>
        <w:spacing w:line="276" w:lineRule="auto"/>
        <w:jc w:val="both"/>
        <w:rPr>
          <w:color w:val="ff0000"/>
          <w:sz w:val="24"/>
          <w:szCs w:val="24"/>
        </w:rPr>
      </w:pPr>
      <w:r w:rsidDel="00000000" w:rsidR="00000000" w:rsidRPr="00000000">
        <w:rPr>
          <w:rtl w:val="0"/>
        </w:rPr>
      </w:r>
    </w:p>
    <w:sectPr>
      <w:pgSz w:h="16820" w:w="11900" w:orient="portrait"/>
      <w:pgMar w:bottom="1264.4000244140625" w:top="1684.600830078125" w:left="1813.6000061035156" w:right="1307.59842519685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6ySigBHRHnBKDCKhu0a6Xtrag==">CgMxLjA4AHIhMVI2V25OSG9MN0FBMnNlbnRIb0Q2UUt4VEFaT0hVd2Rw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