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  </w:t>
      </w:r>
      <w:r w:rsidDel="00000000" w:rsidR="00000000" w:rsidRPr="00000000">
        <w:rPr>
          <w:rtl w:val="0"/>
        </w:rPr>
      </w:r>
    </w:p>
    <w:tbl>
      <w:tblPr>
        <w:tblStyle w:val="Table1"/>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IDENTIFICAÇÃO DO PROCESSO</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40106201171875" w:right="0" w:firstLine="0"/>
        <w:jc w:val="left"/>
        <w:rPr>
          <w:b w:val="1"/>
          <w:bCs w:val="1"/>
          <w:sz w:val="24"/>
          <w:szCs w:val="24"/>
        </w:rPr>
      </w:pPr>
      <w:r w:rsidDel="00000000" w:rsidR="00000000" w:rsidRPr="00000000">
        <w:rPr>
          <w:rFonts w:ascii="Arial" w:cs="Arial" w:eastAsia="Arial" w:hAnsi="Arial"/>
          <w:b/>
          <w:bCs w:val="1"/>
          <w:i w:val="0"/>
          <w:iCs w:val="0"/>
          <w:smallCaps w:val="0"/>
          <w:strike w:val="0"/>
          <w:color w:val="000000"/>
          <w:sz w:val="24"/>
          <w:szCs w:val="24"/>
          <w:u w:val="none"/>
          <w:shd w:fill="auto" w:val="clear"/>
          <w:vertAlign w:val="baseline"/>
          <w:rtl w:val="0"/>
        </w:rPr>
        <w:t>PROCESSO TCE-PE Nº 24100654-5</w:t>
      </w:r>
      <w:r w:rsidDel="00000000" w:rsidR="00000000" w:rsidRPr="00000000">
        <w:rPr>
          <w:b w:val="1"/>
          <w:bCs w:val="1"/>
          <w:sz w:val="24"/>
          <w:szCs w:val="24"/>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RELATOR: Conselheiro Rodrigo Novaes</w:t>
      </w:r>
      <w:r w:rsidDel="00000000" w:rsidR="00000000" w:rsidRPr="00000000">
        <w:rPr>
          <w:b w:val="1"/>
          <w:bCs w:val="1"/>
          <w:sz w:val="24"/>
          <w:szCs w:val="24"/>
          <w:rtl w:val="0"/>
        </w:rPr>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23.96011352539062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MODALIDADE - TIPO: Auditoria Especial</w:t>
      </w:r>
      <w:r w:rsidDel="00000000" w:rsidR="00000000" w:rsidRPr="00000000">
        <w:rPr>
          <w:b w:val="1"/>
          <w:bCs w:val="1"/>
          <w:sz w:val="24"/>
          <w:szCs w:val="24"/>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94140625" w:line="240" w:lineRule="auto"/>
        <w:ind w:left="25.640106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EXERCÍCIO: 2022</w:t>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21484375" w:line="240" w:lineRule="auto"/>
        <w:ind w:left="24.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UNIDADE(S) JURISDICIONADA(S): Prefeitura de Inajá</w:t>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865234375" w:line="240" w:lineRule="auto"/>
        <w:ind w:left="22.760009765625" w:right="0" w:firstLine="0"/>
        <w:jc w:val="left"/>
        <w:rPr>
          <w:b w:val="1"/>
          <w:bCs w:val="1"/>
          <w:sz w:val="24"/>
          <w:szCs w:val="24"/>
        </w:rPr>
      </w:pPr>
      <w:r w:rsidDel="00000000" w:rsidR="00000000" w:rsidRPr="00000000">
        <w:rPr>
          <w:rFonts w:ascii="Arial" w:cs="Arial" w:eastAsia="Arial" w:hAnsi="Arial"/>
          <w:b w:val="0"/>
          <w:bCs w:val="1"/>
          <w:i w:val="0"/>
          <w:iCs w:val="0"/>
          <w:smallCaps w:val="0"/>
          <w:strike w:val="0"/>
          <w:color w:val="000000"/>
          <w:sz w:val="24"/>
          <w:szCs w:val="24"/>
          <w:u w:val="none"/>
          <w:shd w:fill="auto" w:val="clear"/>
          <w:vertAlign w:val="baseline"/>
          <w:rtl w:val="0"/>
        </w:rPr>
        <w:t>INTERESSADOS:</w:t>
      </w:r>
      <w:r w:rsidDel="00000000" w:rsidR="00000000" w:rsidRPr="00000000">
        <w:rPr>
          <w:rtl w:val="0"/>
        </w:rPr>
      </w:r>
    </w:p>
    <w:p w:rsidR="00000000" w:rsidDel="00000000" w:rsidP="00000000" w:rsidRDefault="00000000" w:rsidRPr="00000000" w14:paraId="0000000A">
      <w:pPr>
        <w:widowControl w:val="0"/>
        <w:jc w:val="both"/>
        <w:rPr>
          <w:sz w:val="24"/>
          <w:szCs w:val="24"/>
        </w:rPr>
      </w:pPr>
      <w:r w:rsidDel="00000000" w:rsidR="00000000" w:rsidRPr="00000000">
        <w:rPr>
          <w:rtl w:val="0"/>
        </w:rPr>
      </w:r>
    </w:p>
    <w:p w:rsidR="00000000" w:rsidDel="00000000" w:rsidP="00000000" w:rsidRDefault="00000000" w:rsidRPr="00000000" w14:paraId="0000000B">
      <w:pPr>
        <w:widowControl w:val="0"/>
        <w:jc w:val="both"/>
        <w:rPr>
          <w:sz w:val="24"/>
          <w:szCs w:val="24"/>
        </w:rPr>
      </w:pPr>
      <w:r w:rsidDel="00000000" w:rsidR="00000000" w:rsidRPr="00000000">
        <w:rPr>
          <w:b w:val="0"/>
          <w:sz w:val="24"/>
          <w:szCs w:val="24"/>
          <w:rtl w:val="0"/>
        </w:rPr>
        <w:t>Fulano de Tal</w:t>
      </w:r>
    </w:p>
    <w:p w:rsidR="00000000" w:rsidDel="00000000" w:rsidP="00000000" w:rsidRDefault="00000000" w:rsidRPr="00000000" w14:paraId="0000000C">
      <w:pPr>
        <w:widowControl w:val="0"/>
        <w:jc w:val="both"/>
        <w:rPr>
          <w:sz w:val="24"/>
          <w:szCs w:val="24"/>
        </w:rPr>
      </w:pPr>
      <w:r w:rsidDel="00000000" w:rsidR="00000000" w:rsidRPr="00000000">
        <w:rPr>
          <w:rtl w:val="0"/>
        </w:rPr>
      </w:r>
    </w:p>
    <w:tbl>
      <w:tblPr>
        <w:tblStyle w:val="Table2"/>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EMENTA</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968.503937007873" w:right="8.598425196851167" w:firstLine="0"/>
        <w:jc w:val="both"/>
        <w:rPr>
          <w:sz w:val="24"/>
          <w:szCs w:val="24"/>
          <w:highlight w:val="yellow"/>
        </w:rPr>
      </w:pPr>
      <w:r w:rsidDel="00000000" w:rsidR="00000000" w:rsidRPr="00000000">
        <w:rPr>
          <w:b w:val="0"/>
          <w:sz w:val="24"/>
          <w:szCs w:val="24"/>
          <w:highlight w:val="yellow"/>
          <w:rtl w:val="0"/>
        </w:rPr>
        <w:t>EMENTA DE TESTE</w:t>
      </w:r>
    </w:p>
    <w:p w:rsidR="00000000" w:rsidDel="00000000" w:rsidP="00000000" w:rsidRDefault="00000000" w:rsidRPr="00000000" w14:paraId="0000000F">
      <w:pPr>
        <w:widowControl w:val="0"/>
        <w:numPr>
          <w:ilvl w:val="0"/>
          <w:numId w:val="2"/>
        </w:numPr>
        <w:spacing w:before="240" w:line="331.2" w:lineRule="auto"/>
        <w:ind w:left="4320" w:hanging="360"/>
        <w:jc w:val="both"/>
        <w:rPr>
          <w:sz w:val="24"/>
          <w:szCs w:val="24"/>
          <w:highlight w:val="yellow"/>
        </w:rPr>
      </w:pPr>
      <w:r w:rsidDel="00000000" w:rsidR="00000000" w:rsidRPr="00000000">
        <w:rPr>
          <w:b w:val="0"/>
          <w:sz w:val="24"/>
          <w:szCs w:val="24"/>
          <w:highlight w:val="yellow"/>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5927734375" w:firstLine="0"/>
        <w:jc w:val="right"/>
        <w:rPr>
          <w:sz w:val="24"/>
          <w:szCs w:val="24"/>
        </w:rPr>
      </w:pPr>
      <w:r w:rsidDel="00000000" w:rsidR="00000000" w:rsidRPr="00000000">
        <w:rPr>
          <w:rtl w:val="0"/>
        </w:rPr>
      </w:r>
    </w:p>
    <w:tbl>
      <w:tblPr>
        <w:tblStyle w:val="Table3"/>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DO OBJETO</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13">
      <w:pPr>
        <w:widowControl w:val="0"/>
        <w:jc w:val="both"/>
        <w:rPr>
          <w:color w:val="ff0000"/>
          <w:sz w:val="24"/>
          <w:szCs w:val="24"/>
        </w:rPr>
      </w:pPr>
      <w:r w:rsidDel="00000000" w:rsidR="00000000" w:rsidRPr="00000000">
        <w:rPr>
          <w:b w:val="0"/>
          <w:sz w:val="24"/>
          <w:szCs w:val="24"/>
          <w:rtl w:val="0"/>
        </w:rPr>
        <w:t>Objeto de teste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4"/>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RELATÓRIO</w:t>
            </w:r>
          </w:p>
        </w:tc>
      </w:tr>
    </w:tbl>
    <w:p w:rsidR="00000000" w:rsidDel="00000000" w:rsidP="00000000" w:rsidRDefault="00000000" w:rsidRPr="00000000" w14:paraId="00000016">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widowControl w:val="0"/>
        <w:spacing w:line="276" w:lineRule="auto"/>
        <w:ind w:left="0" w:firstLine="0"/>
        <w:jc w:val="both"/>
        <w:rPr>
          <w:sz w:val="24"/>
          <w:szCs w:val="24"/>
        </w:rPr>
      </w:pPr>
      <w:r w:rsidDel="00000000" w:rsidR="00000000" w:rsidRPr="00000000">
        <w:rPr>
          <w:sz w:val="24"/>
          <w:szCs w:val="24"/>
          <w:rtl w:val="0"/>
        </w:rPr>
        <w:t xml:space="preserve">Dentre outros documentos que integram os autos, destacam-se:</w:t>
      </w:r>
    </w:p>
    <w:p w:rsidR="00000000" w:rsidDel="00000000" w:rsidP="00000000" w:rsidRDefault="00000000" w:rsidRPr="00000000" w14:paraId="00000018">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o relatório de Auditoria (doc. 56);</w:t>
      </w:r>
      <w:r w:rsidDel="00000000" w:rsidR="00000000" w:rsidRPr="00000000">
        <w:rPr>
          <w:rtl w:val="0"/>
        </w:rPr>
      </w:r>
    </w:p>
    <w:p w:rsidR="00000000" w:rsidDel="00000000" w:rsidP="00000000" w:rsidRDefault="00000000" w:rsidRPr="00000000" w14:paraId="00000019">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notificações dos interessados (docs. 56 a 128</w:t>
      </w:r>
      <w:r w:rsidDel="00000000" w:rsidR="00000000" w:rsidRPr="00000000">
        <w:rPr>
          <w:sz w:val="24"/>
          <w:szCs w:val="24"/>
          <w:rtl w:val="0"/>
        </w:rPr>
        <w:t xml:space="preserve">) </w:t>
      </w:r>
      <w:r w:rsidDel="00000000" w:rsidR="00000000" w:rsidRPr="00000000">
        <w:rPr>
          <w:sz w:val="24"/>
          <w:szCs w:val="24"/>
          <w:rtl w:val="0"/>
        </w:rPr>
        <w:t xml:space="preserve">e</w:t>
      </w:r>
      <w:r w:rsidDel="00000000" w:rsidR="00000000" w:rsidRPr="00000000">
        <w:rPr>
          <w:rtl w:val="0"/>
        </w:rPr>
      </w:r>
    </w:p>
    <w:p w:rsidR="00000000" w:rsidDel="00000000" w:rsidP="00000000" w:rsidRDefault="00000000" w:rsidRPr="00000000" w14:paraId="0000001A">
      <w:pPr>
        <w:widowControl w:val="0"/>
        <w:numPr>
          <w:ilvl w:val="0"/>
          <w:numId w:val="3"/>
        </w:numPr>
        <w:spacing w:line="276" w:lineRule="auto"/>
        <w:ind w:left="720" w:hanging="360"/>
        <w:jc w:val="both"/>
        <w:rPr>
          <w:sz w:val="24"/>
          <w:szCs w:val="24"/>
          <w:u w:val="none"/>
        </w:rPr>
      </w:pPr>
      <w:r w:rsidDel="00000000" w:rsidR="00000000" w:rsidRPr="00000000">
        <w:rPr>
          <w:sz w:val="24"/>
          <w:szCs w:val="24"/>
          <w:rtl w:val="0"/>
        </w:rPr>
        <w:t xml:space="preserve">as defesas prévias (docs. 13, 143, 145 a 175, 179 a 189).</w:t>
      </w:r>
      <w:r w:rsidDel="00000000" w:rsidR="00000000" w:rsidRPr="00000000">
        <w:rPr>
          <w:rtl w:val="0"/>
        </w:rPr>
      </w:r>
    </w:p>
    <w:p w:rsidR="00000000" w:rsidDel="00000000" w:rsidP="00000000" w:rsidRDefault="00000000" w:rsidRPr="00000000" w14:paraId="0000001B">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widowControl w:val="0"/>
        <w:spacing w:line="276" w:lineRule="auto"/>
        <w:ind w:left="0" w:firstLine="0"/>
        <w:jc w:val="both"/>
        <w:rPr>
          <w:sz w:val="24"/>
          <w:szCs w:val="24"/>
        </w:rPr>
      </w:pPr>
      <w:r w:rsidDel="00000000" w:rsidR="00000000" w:rsidRPr="00000000">
        <w:rPr>
          <w:sz w:val="24"/>
          <w:szCs w:val="24"/>
          <w:rtl w:val="0"/>
        </w:rPr>
        <w:t xml:space="preserve">Após carrear aos autos vasta documentação, a auditoria emitiu, em 12/02/2025, o relatório apontando a ocorrência de algumas irregularidades. </w:t>
      </w:r>
    </w:p>
    <w:p w:rsidR="00000000" w:rsidDel="00000000" w:rsidP="00000000" w:rsidRDefault="00000000" w:rsidRPr="00000000" w14:paraId="0000001D">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widowControl w:val="0"/>
        <w:spacing w:line="276" w:lineRule="auto"/>
        <w:ind w:left="0" w:firstLine="0"/>
        <w:jc w:val="both"/>
        <w:rPr>
          <w:sz w:val="24"/>
          <w:szCs w:val="24"/>
        </w:rPr>
      </w:pPr>
      <w:r w:rsidDel="00000000" w:rsidR="00000000" w:rsidRPr="00000000">
        <w:rPr>
          <w:sz w:val="24"/>
          <w:szCs w:val="24"/>
          <w:rtl w:val="0"/>
        </w:rPr>
        <w:t xml:space="preserve">Dentre os notificados, todos apresentaram defesa.</w:t>
      </w:r>
    </w:p>
    <w:p w:rsidR="00000000" w:rsidDel="00000000" w:rsidP="00000000" w:rsidRDefault="00000000" w:rsidRPr="00000000" w14:paraId="0000001F">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0">
      <w:pPr>
        <w:widowControl w:val="0"/>
        <w:spacing w:line="276" w:lineRule="auto"/>
        <w:ind w:left="0" w:firstLine="0"/>
        <w:jc w:val="both"/>
        <w:rPr>
          <w:sz w:val="24"/>
          <w:szCs w:val="24"/>
        </w:rPr>
      </w:pPr>
      <w:r w:rsidDel="00000000" w:rsidR="00000000" w:rsidRPr="00000000">
        <w:rPr>
          <w:sz w:val="24"/>
          <w:szCs w:val="24"/>
          <w:rtl w:val="0"/>
        </w:rPr>
        <w:t xml:space="preserve">Vieram-me os autos para julgamento.</w:t>
      </w:r>
    </w:p>
    <w:p w:rsidR="00000000" w:rsidDel="00000000" w:rsidP="00000000" w:rsidRDefault="00000000" w:rsidRPr="00000000" w14:paraId="00000021">
      <w:pPr>
        <w:widowControl w:val="0"/>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2">
      <w:pPr>
        <w:widowControl w:val="0"/>
        <w:spacing w:line="276" w:lineRule="auto"/>
        <w:ind w:left="0" w:firstLine="0"/>
        <w:jc w:val="both"/>
        <w:rPr>
          <w:sz w:val="24"/>
          <w:szCs w:val="24"/>
        </w:rPr>
      </w:pPr>
      <w:r w:rsidDel="00000000" w:rsidR="00000000" w:rsidRPr="00000000">
        <w:rPr>
          <w:sz w:val="24"/>
          <w:szCs w:val="24"/>
          <w:rtl w:val="0"/>
        </w:rPr>
        <w:t xml:space="preserve">É o relatório.</w:t>
      </w:r>
    </w:p>
    <w:p w:rsidR="00000000" w:rsidDel="00000000" w:rsidP="00000000" w:rsidRDefault="00000000" w:rsidRPr="00000000" w14:paraId="00000023">
      <w:pPr>
        <w:widowControl w:val="0"/>
        <w:spacing w:line="276" w:lineRule="auto"/>
        <w:jc w:val="both"/>
        <w:rPr>
          <w:color w:val="ff0000"/>
        </w:rPr>
      </w:pPr>
      <w:r w:rsidDel="00000000" w:rsidR="00000000" w:rsidRPr="00000000">
        <w:rPr>
          <w:rtl w:val="0"/>
        </w:rPr>
      </w:r>
    </w:p>
    <w:tbl>
      <w:tblPr>
        <w:tblStyle w:val="Table5"/>
        <w:tblpPr w:leftFromText="180" w:rightFromText="180" w:topFromText="180" w:bottomFromText="180" w:vertAnchor="text" w:horzAnchor="text" w:tblpX="41.39999389648438" w:tblpY="0"/>
        <w:tblW w:w="8830.400238037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0.40023803711"/>
        <w:tblGridChange w:id="0">
          <w:tblGrid>
            <w:gridCol w:w="8830.40023803711"/>
          </w:tblGrid>
        </w:tblGridChange>
      </w:tblGrid>
      <w:tr>
        <w:trPr>
          <w:cantSplit w:val="0"/>
          <w:trHeight w:val="556.59912109375" w:hRule="atLeast"/>
          <w:tblHeader w:val="0"/>
        </w:trPr>
        <w:tc>
          <w:tcPr/>
          <w:p w:rsidR="00000000" w:rsidDel="00000000" w:rsidP="00000000" w:rsidRDefault="00000000" w:rsidRPr="00000000" w14:paraId="00000024">
            <w:pPr>
              <w:widowControl w:val="0"/>
              <w:spacing w:line="276" w:lineRule="auto"/>
              <w:jc w:val="center"/>
              <w:rPr>
                <w:b w:val="1"/>
                <w:bCs w:val="1"/>
                <w:sz w:val="24"/>
                <w:szCs w:val="24"/>
              </w:rPr>
            </w:pPr>
            <w:r w:rsidDel="00000000" w:rsidR="00000000" w:rsidRPr="00000000">
              <w:rPr>
                <w:b w:val="1"/>
                <w:bCs w:val="1"/>
                <w:sz w:val="24"/>
                <w:szCs w:val="24"/>
                <w:rtl w:val="0"/>
              </w:rPr>
              <w:t xml:space="preserve">VOTO</w:t>
            </w:r>
          </w:p>
        </w:tc>
      </w:tr>
    </w:tbl>
    <w:p w:rsidR="00000000" w:rsidDel="00000000" w:rsidP="00000000" w:rsidRDefault="00000000" w:rsidRPr="00000000" w14:paraId="00000025">
      <w:pPr>
        <w:spacing w:line="276" w:lineRule="auto"/>
        <w:jc w:val="both"/>
        <w:rPr>
          <w:color w:val="ff0000"/>
          <w:sz w:val="24"/>
          <w:szCs w:val="24"/>
        </w:rPr>
      </w:pPr>
      <w:r w:rsidDel="00000000" w:rsidR="00000000" w:rsidRPr="00000000">
        <w:rPr>
          <w:rtl w:val="0"/>
        </w:rPr>
      </w:r>
    </w:p>
    <w:p w:rsidR="00000000" w:rsidDel="00000000" w:rsidP="00000000" w:rsidRDefault="00000000" w:rsidRPr="00000000" w14:paraId="00000026">
      <w:pPr>
        <w:spacing w:line="276" w:lineRule="auto"/>
        <w:jc w:val="both"/>
        <w:rPr>
          <w:sz w:val="24"/>
          <w:szCs w:val="24"/>
        </w:rPr>
      </w:pPr>
      <w:r w:rsidDel="00000000" w:rsidR="00000000" w:rsidRPr="00000000">
        <w:rPr>
          <w:sz w:val="24"/>
          <w:szCs w:val="24"/>
          <w:rtl w:val="0"/>
        </w:rPr>
        <w:t xml:space="preserve">Como a auditoria apontou a ocorrência de sete irregularidades, passo a analisá-las de forma individual, como se segue:</w:t>
      </w:r>
    </w:p>
    <w:p w:rsidR="00000000" w:rsidDel="00000000" w:rsidP="00000000" w:rsidRDefault="00000000" w:rsidRPr="00000000" w14:paraId="0000002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2.1.1. Elaboração de plano de trabalho após a alocação de recursos por meio de emendas impositivas </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spacing w:after="200" w:lineRule="auto"/>
        <w:jc w:val="both"/>
        <w:rPr>
          <w:sz w:val="24"/>
          <w:szCs w:val="24"/>
        </w:rPr>
      </w:pPr>
      <w:r w:rsidDel="00000000" w:rsidR="00000000" w:rsidRPr="00000000">
        <w:rPr>
          <w:sz w:val="24"/>
          <w:szCs w:val="24"/>
          <w:rtl w:val="0"/>
        </w:rPr>
        <w:t xml:space="preserve">A equipe técnica constatou que os planos de trabalho das parcerias eram elaborados de forma intempestiva, muito tempo após a alocação dos recursos orçamentários pelos parlamentares. </w:t>
      </w:r>
    </w:p>
    <w:p w:rsidR="00000000" w:rsidDel="00000000" w:rsidP="00000000" w:rsidRDefault="00000000" w:rsidRPr="00000000" w14:paraId="0000002B">
      <w:pPr>
        <w:spacing w:after="200" w:lineRule="auto"/>
        <w:jc w:val="both"/>
        <w:rPr>
          <w:sz w:val="24"/>
          <w:szCs w:val="24"/>
        </w:rPr>
      </w:pPr>
      <w:r w:rsidDel="00000000" w:rsidR="00000000" w:rsidRPr="00000000">
        <w:rPr>
          <w:sz w:val="24"/>
          <w:szCs w:val="24"/>
          <w:rtl w:val="0"/>
        </w:rPr>
        <w:t xml:space="preserve">A Câmara Municipal apenas indicava a entidade beneficiária e o valor, sem qualquer detalhamento do objeto a ser executado. Tal prática, exemplificada pela Emenda nº 030/2022, cujo plano de trabalho foi apresentado 11 meses após a alocação, inverte a lógica do planejamento, gera risco de insuficiência orçamentária e viola o art. 16, § 1º, da Lei de Responsabilidade Fiscal (Lei Complementar nº 101/2000), que exige a demonstração da adequação orçamentária e financeira para a criação de despesa.</w:t>
      </w:r>
    </w:p>
    <w:p w:rsidR="00000000" w:rsidDel="00000000" w:rsidP="00000000" w:rsidRDefault="00000000" w:rsidRPr="00000000" w14:paraId="0000002C">
      <w:pPr>
        <w:spacing w:after="200" w:lineRule="auto"/>
        <w:jc w:val="both"/>
        <w:rPr>
          <w:sz w:val="24"/>
          <w:szCs w:val="24"/>
        </w:rPr>
      </w:pPr>
      <w:r w:rsidDel="00000000" w:rsidR="00000000" w:rsidRPr="00000000">
        <w:rPr>
          <w:b w:val="1"/>
          <w:bCs w:val="1"/>
          <w:sz w:val="24"/>
          <w:szCs w:val="24"/>
          <w:rtl w:val="0"/>
        </w:rPr>
        <w:t xml:space="preserve">Apesar da auditoria não ter apontado responsáveis, as defesas (FEDEPE e Ricardo Rocha Souto) ponturaram:</w:t>
      </w:r>
      <w:r w:rsidDel="00000000" w:rsidR="00000000" w:rsidRPr="00000000">
        <w:rPr>
          <w:rtl w:val="0"/>
        </w:rPr>
      </w:r>
    </w:p>
    <w:p w:rsidR="00000000" w:rsidDel="00000000" w:rsidP="00000000" w:rsidRDefault="00000000" w:rsidRPr="00000000" w14:paraId="0000002D">
      <w:pPr>
        <w:spacing w:after="200" w:lineRule="auto"/>
        <w:jc w:val="both"/>
        <w:rPr>
          <w:sz w:val="24"/>
          <w:szCs w:val="24"/>
        </w:rPr>
      </w:pPr>
      <w:r w:rsidDel="00000000" w:rsidR="00000000" w:rsidRPr="00000000">
        <w:rPr>
          <w:sz w:val="24"/>
          <w:szCs w:val="24"/>
          <w:rtl w:val="0"/>
        </w:rPr>
        <w:t xml:space="preserve">Os defendentes reconhecem a formalização posterior dos planos, mas atribuem o fato a "reorganizações internas e operacionais", alegando que não houve prejuízo, pois os planos foram aprovados antes da execução financeira. Invocam a ADI 7697/DF, na qual o STF teria assentado que o plano de trabalho visa garantir a compatibilidade com o programa orçamentário, o que, segundo eles, foi observado.</w:t>
      </w:r>
    </w:p>
    <w:p w:rsidR="00000000" w:rsidDel="00000000" w:rsidP="00000000" w:rsidRDefault="00000000" w:rsidRPr="00000000" w14:paraId="0000002E">
      <w:pPr>
        <w:spacing w:after="20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rtl w:val="0"/>
        </w:rPr>
      </w:r>
    </w:p>
    <w:p w:rsidR="00000000" w:rsidDel="00000000" w:rsidP="00000000" w:rsidRDefault="00000000" w:rsidRPr="00000000" w14:paraId="0000002F">
      <w:pPr>
        <w:spacing w:after="200" w:lineRule="auto"/>
        <w:jc w:val="both"/>
        <w:rPr>
          <w:sz w:val="24"/>
          <w:szCs w:val="24"/>
        </w:rPr>
      </w:pPr>
      <w:r w:rsidDel="00000000" w:rsidR="00000000" w:rsidRPr="00000000">
        <w:rPr>
          <w:sz w:val="24"/>
          <w:szCs w:val="24"/>
          <w:rtl w:val="0"/>
        </w:rPr>
        <w:t xml:space="preserve">A alegação de "reorganizações internas" é genérica e não justifica a subversão completa do ciclo de planejamento público. A alocação de recursos públicos não pode ser um "cheque em branco". É imperativo que, no momento da destinação orçamentária, haja um mínimo de clareza sobre o objeto, as metas e os custos envolvidos, para que a própria alocação seja racional. </w:t>
      </w:r>
    </w:p>
    <w:p w:rsidR="00000000" w:rsidDel="00000000" w:rsidP="00000000" w:rsidRDefault="00000000" w:rsidRPr="00000000" w14:paraId="00000030">
      <w:pPr>
        <w:spacing w:after="200" w:lineRule="auto"/>
        <w:jc w:val="both"/>
        <w:rPr>
          <w:sz w:val="24"/>
          <w:szCs w:val="24"/>
        </w:rPr>
      </w:pPr>
      <w:r w:rsidDel="00000000" w:rsidR="00000000" w:rsidRPr="00000000">
        <w:rPr>
          <w:sz w:val="24"/>
          <w:szCs w:val="24"/>
          <w:rtl w:val="0"/>
        </w:rPr>
        <w:t xml:space="preserve">A prática constatada ofende não apenas o art. 16 da LRF, mas também os princípios da eficiência e do planejamento, insculpidos no art. 37 da Constituição Federal. A decisão na ADI 7697/DF não chancela tal prática; ao contrário, reforça a necessidade de compatibilidade, o que pressupõe a existência prévia de um plano. </w:t>
      </w:r>
    </w:p>
    <w:p w:rsidR="00000000" w:rsidDel="00000000" w:rsidP="00000000" w:rsidRDefault="00000000" w:rsidRPr="00000000" w14:paraId="00000031">
      <w:pPr>
        <w:spacing w:after="200" w:lineRule="auto"/>
        <w:jc w:val="both"/>
        <w:rPr>
          <w:sz w:val="24"/>
          <w:szCs w:val="24"/>
        </w:rPr>
      </w:pPr>
      <w:r w:rsidDel="00000000" w:rsidR="00000000" w:rsidRPr="00000000">
        <w:rPr>
          <w:sz w:val="24"/>
          <w:szCs w:val="24"/>
          <w:rtl w:val="0"/>
        </w:rPr>
        <w:t xml:space="preserve">A irregularidade, de natureza formal-procedimental grave, compromete a racionalidade do gasto e deve ser coibida.</w:t>
      </w:r>
    </w:p>
    <w:p w:rsidR="00000000" w:rsidDel="00000000" w:rsidP="00000000" w:rsidRDefault="00000000" w:rsidRPr="00000000" w14:paraId="00000032">
      <w:pPr>
        <w:spacing w:after="240" w:before="240" w:lineRule="auto"/>
        <w:jc w:val="both"/>
        <w:rPr>
          <w:b w:val="1"/>
          <w:bCs w:val="1"/>
          <w:sz w:val="24"/>
          <w:szCs w:val="24"/>
        </w:rPr>
      </w:pPr>
      <w:r w:rsidDel="00000000" w:rsidR="00000000" w:rsidRPr="00000000">
        <w:rPr>
          <w:b w:val="1"/>
          <w:bCs w:val="1"/>
          <w:sz w:val="24"/>
          <w:szCs w:val="24"/>
          <w:rtl w:val="0"/>
        </w:rPr>
        <w:t xml:space="preserve">2.1.2. Indícios de Fraude na Alocação de Recursos Públicos (ASPE) </w:t>
      </w:r>
    </w:p>
    <w:p w:rsidR="00000000" w:rsidDel="00000000" w:rsidP="00000000" w:rsidRDefault="00000000" w:rsidRPr="00000000" w14:paraId="00000033">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alocação de recursos por meio da emenda parlamentar nº 02/2022, utilizando uma entidade destinatária cuja razão social foi dissimulada e que é presidida pelo Diretor de Esportes da Secretaria Especial de Esportes de Ipojuca, sem possuir a estrutura operacional necessária para o recebimento de recursos públicos, implicou em risco de execução irregular desses recursos [...] além de resultar na mobilização do Poder Executivo para a execução de emendas parlamentares com evidente impedimento de ordem técnica.</w:t>
      </w:r>
    </w:p>
    <w:p w:rsidR="00000000" w:rsidDel="00000000" w:rsidP="00000000" w:rsidRDefault="00000000" w:rsidRPr="00000000" w14:paraId="00000034">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Em relação à incompatibilidade do dirigente, tem-se que a entidade destinatária dos recursos é presidida por Marcelo Sodré Raposo [...], que é ocupante de cargo de direção na Secretaria de Esportes de Ipojuca.</w:t>
      </w:r>
    </w:p>
    <w:p w:rsidR="00000000" w:rsidDel="00000000" w:rsidP="00000000" w:rsidRDefault="00000000" w:rsidRPr="00000000" w14:paraId="00000035">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Além de ofensa a segregação de funções, a destinação de recursos para entidade privada presidida por servidor público é vedada pela Lei 13.019/2014.</w:t>
      </w:r>
    </w:p>
    <w:p w:rsidR="00000000" w:rsidDel="00000000" w:rsidP="00000000" w:rsidRDefault="00000000" w:rsidRPr="00000000" w14:paraId="0000003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auditoria realizou inspeção no local de funcionamento da associação [...] e não foi encontrado indício de funcionamento de nenhuma entidade no local, que estava à venda.</w:t>
      </w:r>
    </w:p>
    <w:p w:rsidR="00000000" w:rsidDel="00000000" w:rsidP="00000000" w:rsidRDefault="00000000" w:rsidRPr="00000000" w14:paraId="0000003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Após a alegação de impedimento de ordem técnica por parte do Poder Executivo, os recursos foram realocados [...] para a Associação Filhos do Ipojuca [...] [que] não tem qualquer expertise para execução de ações e serviços públicos de saúde.</w:t>
      </w:r>
    </w:p>
    <w:p w:rsidR="00000000" w:rsidDel="00000000" w:rsidP="00000000" w:rsidRDefault="00000000" w:rsidRPr="00000000" w14:paraId="0000003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Quem executa as atividades do projeto é o Instituto Rede Vhida [...] A Associação Filhos do Ipojuca deveria ter expertise para fiscalizar toda a operação nos termos do art. 35-A, II da Lei 13019/2014.</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Defesa dos Interessados (Vereadores):</w:t>
      </w:r>
      <w:r w:rsidDel="00000000" w:rsidR="00000000" w:rsidRPr="00000000">
        <w:rPr>
          <w:sz w:val="24"/>
          <w:szCs w:val="24"/>
          <w:rtl w:val="0"/>
        </w:rPr>
        <w:t xml:space="preserve"> </w:t>
      </w:r>
    </w:p>
    <w:p w:rsidR="00000000" w:rsidDel="00000000" w:rsidP="00000000" w:rsidRDefault="00000000" w:rsidRPr="00000000" w14:paraId="0000003A">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Preambularmente, cumpre salientar que as alegações contidas no Relatório de Auditoria não merecem prosperar, uma vez que cumpre aos Interessados, enquanto Vereadores Municipais de Ipojuca, tão somente realizar a destinação da Emenda Parlamentar Impositiva.</w:t>
      </w:r>
    </w:p>
    <w:p w:rsidR="00000000" w:rsidDel="00000000" w:rsidP="00000000" w:rsidRDefault="00000000" w:rsidRPr="00000000" w14:paraId="0000003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emendas auditadas não foram aprovadas, não tendo sequer ingressado no mundo jurídico.</w:t>
      </w:r>
    </w:p>
    <w:p w:rsidR="00000000" w:rsidDel="00000000" w:rsidP="00000000" w:rsidRDefault="00000000" w:rsidRPr="00000000" w14:paraId="0000003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Compete ao Vereador, unicamente, indicar as emendas conforme as necessidades do município, não lhe sendo atribuída a responsabilidade pelo controle legal, financeiro ou operacional de sua execução.</w:t>
      </w:r>
    </w:p>
    <w:p w:rsidR="00000000" w:rsidDel="00000000" w:rsidP="00000000" w:rsidRDefault="00000000" w:rsidRPr="00000000" w14:paraId="0000003D">
      <w:pPr>
        <w:spacing w:after="0" w:before="0" w:lineRule="auto"/>
        <w:ind w:left="2160" w:firstLine="0"/>
        <w:jc w:val="both"/>
        <w:rPr>
          <w:sz w:val="24"/>
          <w:szCs w:val="24"/>
        </w:rPr>
      </w:pPr>
      <w:r w:rsidDel="00000000" w:rsidR="00000000" w:rsidRPr="00000000">
        <w:rPr>
          <w:i w:val="1"/>
          <w:iCs w:val="1"/>
          <w:sz w:val="20"/>
          <w:szCs w:val="20"/>
          <w:rtl w:val="0"/>
        </w:rPr>
        <w:t xml:space="preserve">[...] Assim, é incorreto e desproporcional responsabilizar os parlamentares por escolherem um objeto que, futuramente, foi considerado inadequado por critérios discricionários da Administração.</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 tese defensiva de que a função parlamentar se exaure na mera indicação orçamentária não merece ser acolhida, visto que a prerrogativa de emendar não constitui salvo-conduto para a violação dos princípios da Moralidade e Impessoalidade.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A responsabilidade do parlamentar não se esgota na mera indicação; ela pressupõe um dever mínimo de diligência (culpa in eligendo), que foi flagrantemente ignorado. Destinar mais de R$ 5 milhões a uma entidade sem verificar sua existência ou a identidade de seu presidente não é um erro escusável, mas sim erro grosseiro, nos termos do art. 28 da LINDB.</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Verifico suposta negligência ao provocar uma falha documental ao indicar o CNPJ da “Associação de Skate de Pernambuco”, presidida pelo Sr. Marcelo Sodré Raposo, Diretor de Esportes de Ipojuca, cuja sigla "ASPE" é a mesma utilizada pela Associação  de Saúde, Esporte e Educação de Pernambuco -  representada em extenso na emenda. A escolha de uma associação sediada em imóvel à venda e presidida por Diretor de Esportes do município violou vedação objetiva de conflito de interesses e denotou a inexistência material da capacidade operacional da beneficiária.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 irregularidade agravou-se com a tentativa de realocação para a "Associação Filhos do Ipojuca", uma vez que a própria defesa confessa a ausência de expertise da signatária na área da saúde. Tal admissão comprova a afronta ao art. 35-A da Lei 13.019/2014, que exige da entidade celebrante capacidade técnica efetiva para supervisionar a rede, sendo proibido a utilização deste instituto para mera interposição de terceiros sem o devido know-how.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Por fim, improcede o argumento de impunibilidade por ausência de dano ao erário decorrente do bloqueio do repasse. Essa Corte de Contas detém competência para sancionar graves infrações à norma legal independentemente da consumação do prejuízo financeiro, pois a conduta dos parlamentares foi o ato-causa da irregularidade. A atuação preventiva do Executivo não elide a responsabilidade pela tentativa de direcionamento de recursos a entidade inapta, o que, por si só, atenta contra a ordem jurídica e a moralidade administrativa.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Dessa forma, mantenho a irregularidade apontada pela auditoria e responsabilizo os vereadores autores das emendas impositivas.</w:t>
      </w:r>
    </w:p>
    <w:p w:rsidR="00000000" w:rsidDel="00000000" w:rsidP="00000000" w:rsidRDefault="00000000" w:rsidRPr="00000000" w14:paraId="00000045">
      <w:pPr>
        <w:spacing w:after="240" w:before="240" w:lineRule="auto"/>
        <w:jc w:val="both"/>
        <w:rPr>
          <w:b w:val="1"/>
          <w:bCs w:val="1"/>
          <w:sz w:val="24"/>
          <w:szCs w:val="24"/>
        </w:rPr>
      </w:pPr>
      <w:r w:rsidDel="00000000" w:rsidR="00000000" w:rsidRPr="00000000">
        <w:rPr>
          <w:b w:val="1"/>
          <w:bCs w:val="1"/>
          <w:sz w:val="24"/>
          <w:szCs w:val="24"/>
          <w:rtl w:val="0"/>
        </w:rPr>
        <w:t xml:space="preserve">2.1.3. Aprovação de Plano de Trabalho Antieconômico</w:t>
      </w:r>
    </w:p>
    <w:p w:rsidR="00000000" w:rsidDel="00000000" w:rsidP="00000000" w:rsidRDefault="00000000" w:rsidRPr="00000000" w14:paraId="00000046">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Devido à aprovação de plano de trabalho antieconômico, com elaboração de cotação de preço fabricada, ocorreu a execução de termo de fomento com valores de locação de bens superiores ao seu preço de compra.</w:t>
      </w:r>
    </w:p>
    <w:p w:rsidR="00000000" w:rsidDel="00000000" w:rsidP="00000000" w:rsidRDefault="00000000" w:rsidRPr="00000000" w14:paraId="00000047">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Se os equipamentos fossem comprados em vez de alugados, haveria uma economia significativa. [...] Locação de Backdrop [...] R$ 336.540,00 [vs] Valor de Compra R$ 1.570,00.</w:t>
      </w:r>
    </w:p>
    <w:p w:rsidR="00000000" w:rsidDel="00000000" w:rsidP="00000000" w:rsidRDefault="00000000" w:rsidRPr="00000000" w14:paraId="00000048">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 cotação de preços de 24 itens distintos ter valor idêntico (até os centavos) ao valor alocado 10 meses antes é um indício contundente de que a cotação de preço foi fabricada.</w:t>
      </w:r>
    </w:p>
    <w:p w:rsidR="00000000" w:rsidDel="00000000" w:rsidP="00000000" w:rsidRDefault="00000000" w:rsidRPr="00000000" w14:paraId="00000049">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Obter o valor exato de R$514.846,15 distribuídos em 24 itens, em um processo espontâneo de cotação de preços, nove meses depois da alocação do recurso, é um claro indicativo de que os preços foram fabricados.</w:t>
      </w:r>
    </w:p>
    <w:p w:rsidR="00000000" w:rsidDel="00000000" w:rsidP="00000000" w:rsidRDefault="00000000" w:rsidRPr="00000000" w14:paraId="0000004A">
      <w:pPr>
        <w:spacing w:after="240" w:before="240" w:lineRule="auto"/>
        <w:jc w:val="both"/>
        <w:rPr>
          <w:b w:val="1"/>
          <w:bCs w:val="1"/>
          <w:sz w:val="24"/>
          <w:szCs w:val="24"/>
        </w:rPr>
      </w:pPr>
      <w:r w:rsidDel="00000000" w:rsidR="00000000" w:rsidRPr="00000000">
        <w:rPr>
          <w:b w:val="1"/>
          <w:bCs w:val="1"/>
          <w:sz w:val="24"/>
          <w:szCs w:val="24"/>
          <w:rtl w:val="0"/>
        </w:rPr>
        <w:t xml:space="preserve">Defesa dos Interessados (FEDEPE, Rio Maria, Servidores):</w:t>
      </w:r>
    </w:p>
    <w:p w:rsidR="00000000" w:rsidDel="00000000" w:rsidP="00000000" w:rsidRDefault="00000000" w:rsidRPr="00000000" w14:paraId="0000004B">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justificativas de preços apresentadas pela FEDEPE foram baseadas em cotações de mercado reais, emitidas por empresas legítimas.</w:t>
      </w:r>
    </w:p>
    <w:p w:rsidR="00000000" w:rsidDel="00000000" w:rsidP="00000000" w:rsidRDefault="00000000" w:rsidRPr="00000000" w14:paraId="0000004C">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As propostas emitidas pela RIO MARIA foram feitas por solicitação formal ou informal de entidades executoras, como prática comum e legítima de cotação de mercado.</w:t>
      </w:r>
    </w:p>
    <w:p w:rsidR="00000000" w:rsidDel="00000000" w:rsidP="00000000" w:rsidRDefault="00000000" w:rsidRPr="00000000" w14:paraId="0000004D">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Sr. Jaílson [...] não detém qualquer formação técnica ou superior que o habilite a compreender, muito menos avaliar ou validar documentos complexos como planos de trabalho.</w:t>
      </w:r>
    </w:p>
    <w:p w:rsidR="00000000" w:rsidDel="00000000" w:rsidP="00000000" w:rsidRDefault="00000000" w:rsidRPr="00000000" w14:paraId="0000004E">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O cargo de Diretor de Esportes está subordinado hierarquicamente ao cargo do Secretário Municipal [...] Sua função é o acompanhamento das ações que lhe são propostas e não a aprovação de qualquer projeto.</w:t>
      </w:r>
    </w:p>
    <w:p w:rsidR="00000000" w:rsidDel="00000000" w:rsidP="00000000" w:rsidRDefault="00000000" w:rsidRPr="00000000" w14:paraId="0000004F">
      <w:pPr>
        <w:spacing w:after="0" w:before="0" w:lineRule="auto"/>
        <w:ind w:left="2160" w:firstLine="0"/>
        <w:jc w:val="both"/>
        <w:rPr>
          <w:i w:val="1"/>
          <w:iCs w:val="1"/>
          <w:sz w:val="20"/>
          <w:szCs w:val="20"/>
        </w:rPr>
      </w:pPr>
      <w:r w:rsidDel="00000000" w:rsidR="00000000" w:rsidRPr="00000000">
        <w:rPr>
          <w:i w:val="1"/>
          <w:iCs w:val="1"/>
          <w:sz w:val="20"/>
          <w:szCs w:val="20"/>
          <w:rtl w:val="0"/>
        </w:rPr>
        <w:t xml:space="preserve">[...] Como poderia uma assessora de divisão aprovar determinado procedimento e o Secretário apenas assentir? [...] Portanto, resta demonstrado que a Assessora de Divisão não possuia legitimidade para autorizar os planos de trabalho.</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A auditoria demonstrou a antieconomicidade dos planos de trabalho, com locações de bens em valores muitas vezes superiores ao preço de aquisição, e indícios de montagem de cotações, dada à coincidência exata de valores com as emendas parlamentares.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No tocante à responsabilização, entendo que assiste razão parcial às defesas dos servidores Joelma Morroquim de Medeiros, Jailson Francisco Trindade e Marcelo Sodré Raposo. A estrutura hierárquica e a natureza das funções exercidas (zeladoria, assessoria e direção subordinada) indicam que a capacidade decisória e a responsabilidade final pela aprovação dos planos recairiam sobre o Secretário da pasta, Sr. Danilo Alves Lins.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Contudo, observo que o referido Secretário não foi apontado como responsável por este achado específico no Relatório de Auditoria, o que inviabiliza sua sanção neste ponto sob pena de cerceamento de defesa. </w:t>
      </w:r>
    </w:p>
    <w:p w:rsidR="00000000" w:rsidDel="00000000" w:rsidP="00000000" w:rsidRDefault="00000000" w:rsidRPr="00000000" w14:paraId="00000054">
      <w:pPr>
        <w:spacing w:after="240" w:before="240" w:lineRule="auto"/>
        <w:jc w:val="both"/>
        <w:rPr>
          <w:sz w:val="24"/>
          <w:szCs w:val="24"/>
          <w:highlight w:val="red"/>
        </w:rPr>
      </w:pPr>
      <w:r w:rsidDel="00000000" w:rsidR="00000000" w:rsidRPr="00000000">
        <w:rPr>
          <w:sz w:val="24"/>
          <w:szCs w:val="24"/>
          <w:rtl w:val="0"/>
        </w:rPr>
        <w:t xml:space="preserve">Entretanto, a exclusão da culpa dos servidores subalternos não exime as entidades privadas que concorreram para a ilicitude. As empresas cotadoras e a FEDEPE participaram ativamente da fabricação de preços e se beneficiaram dos valores antieconômicos aprovados. Portanto, acolho as preliminares de ilegitimidade dos servidores Joelma, Jailson e Marcelo quanto a este item, mas mantenho a responsabilidade das empresas envolvidas e da FEDEPE, </w:t>
      </w:r>
      <w:r w:rsidDel="00000000" w:rsidR="00000000" w:rsidRPr="00000000">
        <w:rPr>
          <w:sz w:val="24"/>
          <w:szCs w:val="24"/>
          <w:highlight w:val="red"/>
          <w:rtl w:val="0"/>
        </w:rPr>
        <w:t xml:space="preserve">declarando sua inidoneidade diante da gravidade da fraude na composição de preços.</w:t>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2.1.4. Indícios de fraude na execução do plano de trabalho da Federação Pernambucana de Esportes Escolar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Houve a concentração da execução em quatro empresas [...] Para execução do projeto, a FEDEPE contou apenas com esses fornecedores.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atividade econômica principal da DeadLine é '90.01-9-02 - Produção musical' [...] foi realizada inspeção no local indicado nas notas fiscais, mas foi encontrado apenas um escritório de contabilidade.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MCS Produções foi criada alguns meses antes da execução do projeto [...] Para verificar a capacidade operacional da empresa, foi realizada uma inspeção [...] Ocorre que a equipe se deparou com um endereço residencial.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Há indícios de que a empresa Rio Maria Soluções e Serviços é controlada pelo Presidente da Federação de Esporte Escolar de Pernambuco, o Sr. Ricardo Rocha.</w:t>
      </w:r>
      <w:r w:rsidDel="00000000" w:rsidR="00000000" w:rsidRPr="00000000">
        <w:rPr>
          <w:rtl w:val="0"/>
        </w:rPr>
      </w:r>
    </w:p>
    <w:p w:rsidR="00000000" w:rsidDel="00000000" w:rsidP="00000000" w:rsidRDefault="00000000" w:rsidRPr="00000000" w14:paraId="0000005A">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i w:val="1"/>
          <w:iCs w:val="1"/>
          <w:sz w:val="20"/>
          <w:szCs w:val="20"/>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Todos os projetos executados pela FEDEPE foram realizados conforme pactuado, com: Relatórios fotográficos e audiovisuais.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 RIO MARIA é empresa regularmente constituída [...] A empresa possui CNPJ ativo, sede física, quadro técnico capacitado.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4"/>
          <w:szCs w:val="24"/>
        </w:rPr>
      </w:pPr>
      <w:r w:rsidDel="00000000" w:rsidR="00000000" w:rsidRPr="00000000">
        <w:rPr>
          <w:i w:val="1"/>
          <w:iCs w:val="1"/>
          <w:sz w:val="20"/>
          <w:szCs w:val="20"/>
          <w:rtl w:val="0"/>
        </w:rPr>
        <w:t xml:space="preserve">[...] Não assiste razão a equipe de auditoria ao apontar omissão do defendente [Cleiton] em sua atribuição de fiscal. Enquanto diligenciava o projeto, presenciou sua correta e efetiva execução.</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A auditoria traz elementos para demonstrar a contratação de empresas de fachada ou sem capacidade operacional compatível com o objeto (endereços residenciais, escritórios de contabilidade, CNAE divergente). A gravidade é acentuada pelos indícios de vínculo entre a empresa Rio Maria e a própria presidência da FEDEPE, configurando confusão patrimonial e direcionamento.</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As defesas apresentadas limitam-se a negar genericamente as fraudes ou alegar a entrega do objeto, sem, contudo, desconstituir as provas documentais e fotográficas da incapacidade operacional das contratadas.</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Diferentemente do item anterior, a participação do fiscal do contrato e do diretor de esportes na fase de execução e liquidação da despesa atrai sua responsabilidade direta. Assim, mantenho a irregularidade e a responsabilização de todos os imputados pela auditoria neste item.</w:t>
      </w:r>
    </w:p>
    <w:p w:rsidR="00000000" w:rsidDel="00000000" w:rsidP="00000000" w:rsidRDefault="00000000" w:rsidRPr="00000000" w14:paraId="00000062">
      <w:pPr>
        <w:spacing w:after="240" w:before="240" w:lineRule="auto"/>
        <w:jc w:val="both"/>
        <w:rPr>
          <w:b w:val="1"/>
          <w:bCs w:val="1"/>
          <w:sz w:val="24"/>
          <w:szCs w:val="24"/>
        </w:rPr>
      </w:pPr>
      <w:r w:rsidDel="00000000" w:rsidR="00000000" w:rsidRPr="00000000">
        <w:rPr>
          <w:b w:val="1"/>
          <w:bCs w:val="1"/>
          <w:sz w:val="24"/>
          <w:szCs w:val="24"/>
          <w:rtl w:val="0"/>
        </w:rPr>
        <w:t xml:space="preserve">2.1.5. Pagamento de tarifa bancária</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identificada a cobrança de tarifa bancária na conta de todos os termos de fomento da Federação de Esportes Escolar de Pernambuco (FEDEPE).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 acordo com o estabelecido no art. 51 da Lei 13019/2014, 'os recursos recebidos em decorrência da parceria serão depositados em conta corrente específica isenta de tarifa bancária'.</w:t>
      </w:r>
    </w:p>
    <w:p w:rsidR="00000000" w:rsidDel="00000000" w:rsidP="00000000" w:rsidRDefault="00000000" w:rsidRPr="00000000" w14:paraId="00000066">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(FEDEPE):</w:t>
      </w:r>
      <w:r w:rsidDel="00000000" w:rsidR="00000000" w:rsidRPr="00000000">
        <w:rPr>
          <w:i w:val="1"/>
          <w:iCs w:val="1"/>
          <w:sz w:val="20"/>
          <w:szCs w:val="20"/>
          <w:rtl w:val="0"/>
        </w:rPr>
        <w:t xml:space="preserve"> </w:t>
      </w:r>
    </w:p>
    <w:p w:rsidR="00000000" w:rsidDel="00000000" w:rsidP="00000000" w:rsidRDefault="00000000" w:rsidRPr="00000000" w14:paraId="00000067">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As tarifas bancárias observadas se referem a despesas regulares e necessárias à operacionalização financeira dos projetos </w:t>
      </w:r>
    </w:p>
    <w:p w:rsidR="00000000" w:rsidDel="00000000" w:rsidP="00000000" w:rsidRDefault="00000000" w:rsidRPr="00000000" w14:paraId="00000068">
      <w:pPr>
        <w:spacing w:after="240" w:before="240" w:lineRule="auto"/>
        <w:ind w:left="2160" w:firstLine="0"/>
        <w:jc w:val="both"/>
        <w:rPr>
          <w:i w:val="1"/>
          <w:iCs w:val="1"/>
          <w:sz w:val="20"/>
          <w:szCs w:val="20"/>
        </w:rPr>
      </w:pPr>
      <w:r w:rsidDel="00000000" w:rsidR="00000000" w:rsidRPr="00000000">
        <w:rPr>
          <w:i w:val="1"/>
          <w:iCs w:val="1"/>
          <w:sz w:val="20"/>
          <w:szCs w:val="20"/>
          <w:rtl w:val="0"/>
        </w:rPr>
        <w:t xml:space="preserve">[...] É sabido que contas de projetos vinculados à Lei n. 13.019/2014 – Marco Regulatório das Organizações da Sociedade Civil, são obrigatoriamente isentas de qualquer taxação por parte do sistema bancário. Ainda assim ocorreu após diversas e constantes tentativas de tratativas sobre a temática, restando a FEDEPE, a devolução dos valores onde todas as tarifas debitadas que constam nos extratos foram restituídas e a sobra dos valores que constaram em conta devolvido ao erário público, conforme previsão dos Termos de fomento e da legislação.</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A legislação é clara quanto à vedação do uso de recursos da parceria para pagamento de tarifas bancárias. A defesa alega tentativas de isenção junto ao banco, mas não apresenta provas documentais dessas tratativas ou da efetiva devolução dos valores em conta, bem como da posterior devolução ao erário público.</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Dessa forma, sigo o entendimento da auditoria pela imputação do débito correspondente.</w:t>
      </w:r>
    </w:p>
    <w:p w:rsidR="00000000" w:rsidDel="00000000" w:rsidP="00000000" w:rsidRDefault="00000000" w:rsidRPr="00000000" w14:paraId="0000006C">
      <w:pPr>
        <w:spacing w:after="240" w:before="240" w:lineRule="auto"/>
        <w:jc w:val="both"/>
        <w:rPr>
          <w:b w:val="1"/>
          <w:bCs w:val="1"/>
          <w:sz w:val="24"/>
          <w:szCs w:val="24"/>
        </w:rPr>
      </w:pPr>
      <w:r w:rsidDel="00000000" w:rsidR="00000000" w:rsidRPr="00000000">
        <w:rPr>
          <w:b w:val="1"/>
          <w:bCs w:val="1"/>
          <w:sz w:val="24"/>
          <w:szCs w:val="24"/>
          <w:rtl w:val="0"/>
        </w:rPr>
        <w:t xml:space="preserve">2.1.6. Ausência de verificação de cumprimento das metas estabelecidas em plano de trabalho</w:t>
      </w:r>
    </w:p>
    <w:p w:rsidR="00000000" w:rsidDel="00000000" w:rsidP="00000000" w:rsidRDefault="00000000" w:rsidRPr="00000000" w14:paraId="0000006D">
      <w:pPr>
        <w:spacing w:after="240" w:before="240" w:lineRule="auto"/>
        <w:jc w:val="both"/>
        <w:rPr>
          <w:i w:val="1"/>
          <w:iCs w:val="1"/>
          <w:sz w:val="20"/>
          <w:szCs w:val="20"/>
        </w:rPr>
      </w:pPr>
      <w:r w:rsidDel="00000000" w:rsidR="00000000" w:rsidRPr="00000000">
        <w:rPr>
          <w:b w:val="1"/>
          <w:bCs w:val="1"/>
          <w:sz w:val="24"/>
          <w:szCs w:val="24"/>
          <w:rtl w:val="0"/>
        </w:rPr>
        <w:t xml:space="preserve">Análise da Auditoria:</w:t>
      </w:r>
      <w:r w:rsidDel="00000000" w:rsidR="00000000" w:rsidRPr="00000000">
        <w:rPr>
          <w:i w:val="1"/>
          <w:iCs w:val="1"/>
          <w:sz w:val="20"/>
          <w:szCs w:val="20"/>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Apesar de não atingir a meta quantitativa, no relatório de execução [...] a Federação de Esportes Escolar (FEDEPE) indica que atingiu a expectativa de participação.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total de 345 participantes representa 43,125% da meta quantitativa [de 800].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Deveriam ter sido glosados os valores relacionados a metas e resultados descumpridos [...] Confecção de medalha [...] Confecção de camisa [...] Glosa R$ 36.622,60.</w:t>
      </w:r>
    </w:p>
    <w:p w:rsidR="00000000" w:rsidDel="00000000" w:rsidP="00000000" w:rsidRDefault="00000000" w:rsidRPr="00000000" w14:paraId="00000071">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número de participantes apurado pela auditoria acaba sendo maior do que os que de fato participaram [...] O defendente opta por desconsiderar o 'benefício' do acréscimo concedido pela equipe de contas.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Observa-se que o primeiro lugar era inscrito com o número 275 [...] Uma verdadeira multidão de pessoas participando [...] Esse número também demonstrou ser bem superior aos 207 participantes alegados pela auditoria.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 defendente não incorreu em qualquer ato de omissão passível de penalização [...] O defendente delineate em seu relatório a frequência de pessoas no evento [...] média de 85%.</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auditoria constatou, através de análise documental e resultados oficiais, que o número de participantes foi significativamente inferior ao pactuado (apenas cerca de 43% da meta). As fotos apresentadas pela defesa, embora mostrem aglomeração, não são suficientes para comprovar o atingimento da meta numérica contratada de 800 participantes diretos, tampouco justificam o pagamento integral de itens variáveis como medalhas e camisas, que deveriam ser pagos por unidade entregue. A ausência de glosa proporcional causou dano ao erário. A responsabilidade recai tanto sobre a entidade que recebeu por serviço não prestado integralmente quanto sobre os agentes públicos que atestaram a execução plena indevidamente. Sigo integralmente o entendimento da auditoria, mantendo a imputação do débito e a aplicação de multas aos responsáveis apontados.</w:t>
      </w:r>
    </w:p>
    <w:p w:rsidR="00000000" w:rsidDel="00000000" w:rsidP="00000000" w:rsidRDefault="00000000" w:rsidRPr="00000000" w14:paraId="00000077">
      <w:pPr>
        <w:spacing w:after="240" w:before="240" w:lineRule="auto"/>
        <w:jc w:val="both"/>
        <w:rPr>
          <w:b w:val="1"/>
          <w:bCs w:val="1"/>
          <w:sz w:val="24"/>
          <w:szCs w:val="24"/>
        </w:rPr>
      </w:pPr>
      <w:r w:rsidDel="00000000" w:rsidR="00000000" w:rsidRPr="00000000">
        <w:rPr>
          <w:b w:val="1"/>
          <w:bCs w:val="1"/>
          <w:sz w:val="24"/>
          <w:szCs w:val="24"/>
          <w:rtl w:val="0"/>
        </w:rPr>
        <w:t xml:space="preserve">2.1.7. Execução irregular de emendas destinadas a Federação de Esporte Escolar de Pernambuco em 2024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Devido à antecipação da execução orçamentária das emendas impositivas [...] ocorreu o descumprimento da medida cautelar nº 24101091-3.</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pagamentos dos termos de fomento foram realizados em sua integralidade em um curto intervalo de tempo. Não há relação entre a liberação dos recursos e as metas estabelecidas.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Foi acelerada a execução das emendas, com antecipação do cronograma de execução.</w:t>
      </w:r>
    </w:p>
    <w:p w:rsidR="00000000" w:rsidDel="00000000" w:rsidP="00000000" w:rsidRDefault="00000000" w:rsidRPr="00000000" w14:paraId="0000007B">
      <w:pPr>
        <w:spacing w:after="240" w:before="240" w:lineRule="auto"/>
        <w:jc w:val="both"/>
        <w:rPr>
          <w:i w:val="1"/>
          <w:iCs w:val="1"/>
          <w:sz w:val="20"/>
          <w:szCs w:val="20"/>
        </w:rPr>
      </w:pPr>
      <w:r w:rsidDel="00000000" w:rsidR="00000000" w:rsidRPr="00000000">
        <w:rPr>
          <w:b w:val="1"/>
          <w:bCs w:val="1"/>
          <w:sz w:val="24"/>
          <w:szCs w:val="24"/>
          <w:rtl w:val="0"/>
        </w:rPr>
        <w:t xml:space="preserve">Defesa dos Interessados (Célia Sales):</w:t>
      </w:r>
      <w:r w:rsidDel="00000000" w:rsidR="00000000" w:rsidRPr="00000000">
        <w:rPr>
          <w:i w:val="1"/>
          <w:iCs w:val="1"/>
          <w:sz w:val="20"/>
          <w:szCs w:val="20"/>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Os valores foram repassados ainda nos meses de junho e julho de 2024, ao passo em que a decisão apenas fora notificada por e-mail em 21 de novembro de 2024.</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i w:val="1"/>
          <w:iCs w:val="1"/>
          <w:sz w:val="20"/>
          <w:szCs w:val="20"/>
        </w:rPr>
      </w:pPr>
      <w:r w:rsidDel="00000000" w:rsidR="00000000" w:rsidRPr="00000000">
        <w:rPr>
          <w:i w:val="1"/>
          <w:iCs w:val="1"/>
          <w:sz w:val="20"/>
          <w:szCs w:val="20"/>
          <w:rtl w:val="0"/>
        </w:rPr>
        <w:t xml:space="preserve">[...] Não houve uma tentativa de antecipação das datas para a realização do evento [...] A conclusão dos eventos até a data final de 31/12/2024, deu-se em razão do fim do ano e por ser o último dia do mandato.</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bCs w:val="1"/>
          <w:sz w:val="24"/>
          <w:szCs w:val="24"/>
          <w:rtl w:val="0"/>
        </w:rPr>
        <w:t xml:space="preserve">Análise do Relator:</w:t>
      </w:r>
      <w:r w:rsidDel="00000000" w:rsidR="00000000" w:rsidRPr="00000000">
        <w:rPr>
          <w:sz w:val="24"/>
          <w:szCs w:val="24"/>
          <w:rtl w:val="0"/>
        </w:rPr>
        <w:t xml:space="preserve">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Ainda que os repasses financeiros tenham ocorrido antes da notificação formal da cautelar, a gestão tinha o dever de cautela diante dos apontamentos de irregularidades graves já existentes e de conhecimento público. Ademais, a execução física acelerada e o pagamento integral antecipado, dissociado das etapas de execução, violam a Lei 13.019/2014 e caracterizam a intenção de frustrar a eficácia do controle externo. A conduta da gestora ao permitir a execução total em cenário de grave suspeita de fraude, ignorando os princípios da prudência e da legalidade, configura erro grosseiro. Sigo o entendimento da auditoria, responsabilizando a ex-prefeita Célia Agostinho Lins de Sales.</w:t>
      </w:r>
    </w:p>
    <w:p w:rsidR="00000000" w:rsidDel="00000000" w:rsidP="00000000" w:rsidRDefault="00000000" w:rsidRPr="00000000" w14:paraId="00000080">
      <w:pPr>
        <w:spacing w:after="240" w:before="240" w:lineRule="auto"/>
        <w:jc w:val="both"/>
        <w:rPr>
          <w:b w:val="1"/>
          <w:bCs w:val="1"/>
          <w:sz w:val="24"/>
          <w:szCs w:val="24"/>
        </w:rPr>
      </w:pPr>
      <w:r w:rsidDel="00000000" w:rsidR="00000000" w:rsidRPr="00000000">
        <w:rPr>
          <w:b w:val="1"/>
          <w:bCs w:val="1"/>
          <w:sz w:val="24"/>
          <w:szCs w:val="24"/>
          <w:rtl w:val="0"/>
        </w:rPr>
        <w:t xml:space="preserve">6. DECISÃO</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0"/>
          <w:sz w:val="24"/>
          <w:szCs w:val="24"/>
          <w:rtl w:val="0"/>
        </w:rPr>
      </w:r>
    </w:p>
    <w:p>
      <w:pPr>
        <w:jc w:val="both"/>
      </w:pPr>
      <w:r>
        <w:rPr>
          <w:rFonts w:ascii="Arial" w:hAnsi="Arial"/>
          <w:b w:val="0"/>
          <w:i w:val="0"/>
          <w:sz w:val="24"/>
        </w:rPr>
        <w:t>VOTO DE TESTE</w:t>
      </w:r>
    </w:p>
    <w:p>
      <w:r>
        <w:rPr>
          <w:rFonts w:ascii="Arial" w:hAnsi="Arial"/>
          <w:b/>
          <w:i w:val="0"/>
          <w:sz w:val="24"/>
        </w:rPr>
        <w:t>Titulo</w:t>
      </w:r>
    </w:p>
    <w:p>
      <w:pPr>
        <w:jc w:val="both"/>
      </w:pPr>
      <w:r>
        <w:rPr>
          <w:rFonts w:ascii="Arial" w:hAnsi="Arial"/>
          <w:b w:val="0"/>
          <w:i w:val="0"/>
          <w:sz w:val="24"/>
        </w:rPr>
        <w:t>Conteudo da analise</w:t>
      </w:r>
    </w:p>
    <w:p>
      <w:pPr>
        <w:jc w:val="both"/>
      </w:pPr>
      <w:r>
        <w:rPr>
          <w:rFonts w:ascii="Arial" w:hAnsi="Arial"/>
          <w:b/>
          <w:i w:val="0"/>
          <w:sz w:val="24"/>
        </w:rPr>
        <w:t>CONSIDERANDO teste</w:t>
      </w:r>
    </w:p>
    <w:p>
      <w:pPr>
        <w:jc w:val="both"/>
      </w:pPr>
      <w:r>
        <w:rPr>
          <w:rFonts w:ascii="Arial" w:hAnsi="Arial"/>
          <w:b/>
          <w:i w:val="0"/>
          <w:sz w:val="24"/>
        </w:rPr>
        <w:t>I. Decisao</w:t>
      </w:r>
    </w:p>
    <w:p w:rsidR="00000000" w:rsidDel="00000000" w:rsidP="00000000" w:rsidRDefault="00000000" w:rsidRPr="00000000" w14:paraId="0000008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JULGAR IRREGULARES</w:t>
      </w:r>
      <w:r w:rsidDel="00000000" w:rsidR="00000000" w:rsidRPr="00000000">
        <w:rPr>
          <w:sz w:val="24"/>
          <w:szCs w:val="24"/>
          <w:rtl w:val="0"/>
        </w:rPr>
        <w:t xml:space="preserve"> as contas objeto da presente Auditoria Especial de Conformidade, referente ao exercício de 2023.</w:t>
      </w:r>
    </w:p>
    <w:p w:rsidR="00000000" w:rsidDel="00000000" w:rsidP="00000000" w:rsidRDefault="00000000" w:rsidRPr="00000000" w14:paraId="0000008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IMPUTAR DÉBITO</w:t>
      </w:r>
      <w:r w:rsidDel="00000000" w:rsidR="00000000" w:rsidRPr="00000000">
        <w:rPr>
          <w:sz w:val="24"/>
          <w:szCs w:val="24"/>
          <w:rtl w:val="0"/>
        </w:rPr>
        <w:t xml:space="preserve"> solidário à Federação do Esporte Escolar de Pernambuco - FEDEPE e aos ordenadores de despesa responsáveis, no valor de </w:t>
      </w:r>
      <w:r w:rsidDel="00000000" w:rsidR="00000000" w:rsidRPr="00000000">
        <w:rPr>
          <w:b w:val="1"/>
          <w:bCs w:val="1"/>
          <w:sz w:val="24"/>
          <w:szCs w:val="24"/>
          <w:rtl w:val="0"/>
        </w:rPr>
        <w:t xml:space="preserve">R$ 4.425,00</w:t>
      </w:r>
      <w:r w:rsidDel="00000000" w:rsidR="00000000" w:rsidRPr="00000000">
        <w:rPr>
          <w:sz w:val="24"/>
          <w:szCs w:val="24"/>
          <w:rtl w:val="0"/>
        </w:rPr>
        <w:t xml:space="preserve"> (referente a tarifas bancárias) e </w:t>
      </w:r>
      <w:r w:rsidDel="00000000" w:rsidR="00000000" w:rsidRPr="00000000">
        <w:rPr>
          <w:b w:val="1"/>
          <w:bCs w:val="1"/>
          <w:sz w:val="24"/>
          <w:szCs w:val="24"/>
          <w:rtl w:val="0"/>
        </w:rPr>
        <w:t xml:space="preserve">R$ 36.622,60</w:t>
      </w:r>
      <w:r w:rsidDel="00000000" w:rsidR="00000000" w:rsidRPr="00000000">
        <w:rPr>
          <w:sz w:val="24"/>
          <w:szCs w:val="24"/>
          <w:rtl w:val="0"/>
        </w:rPr>
        <w:t xml:space="preserve"> (referente à inexecução de metas quantitativas não glosadas), valores que deverão ser atualizados monetariamente.</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APLICAR MULTA</w:t>
      </w:r>
      <w:r w:rsidDel="00000000" w:rsidR="00000000" w:rsidRPr="00000000">
        <w:rPr>
          <w:sz w:val="24"/>
          <w:szCs w:val="24"/>
          <w:rtl w:val="0"/>
        </w:rPr>
        <w:t xml:space="preserve"> prevista no art. 73 da Lei Estadual nº 12.600/2004: a) Aos Vereadores autores das emendas impositivas (Abel Franco Damascena, Adilma Barbosa Lacerda dos Santos, Eduardo Cleiton de Santana, Flávio Henrique do Rego Souza, Genival Ferreira da Silva, João Vasconcelos da Silva, Júlio José dos Santos Neto, Paulo Henrique Gonçalves Bezerra, Ricardo José de Souza e Washington Antonio da Silva), pela indicação de entidade inapta e com fraude na alocação de recursos (item 2.1.2). b) Aos Srs. Cleiton Henrique da Silva, Marcelo Sodré Raposo e à Sra. Célia Agostinho Lins de Sales, pelas irregularidades na execução, fiscalização e descumprimento de cautelar (itens 2.1.4, 2.1.6 e 2.1.7).</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DECLARAR A INIDONEIDADE</w:t>
      </w:r>
      <w:r w:rsidDel="00000000" w:rsidR="00000000" w:rsidRPr="00000000">
        <w:rPr>
          <w:sz w:val="24"/>
          <w:szCs w:val="24"/>
          <w:rtl w:val="0"/>
        </w:rPr>
        <w:t xml:space="preserve">, pelo prazo de 05 (cinco) anos, para contratar com a Administração Pública Estadual e Municipal: a) Da </w:t>
      </w:r>
      <w:r w:rsidDel="00000000" w:rsidR="00000000" w:rsidRPr="00000000">
        <w:rPr>
          <w:b w:val="1"/>
          <w:bCs w:val="1"/>
          <w:sz w:val="24"/>
          <w:szCs w:val="24"/>
          <w:rtl w:val="0"/>
        </w:rPr>
        <w:t xml:space="preserve">Federação do Esporte Escolar de Pernambuco - FEDEPE</w:t>
      </w:r>
      <w:r w:rsidDel="00000000" w:rsidR="00000000" w:rsidRPr="00000000">
        <w:rPr>
          <w:sz w:val="24"/>
          <w:szCs w:val="24"/>
          <w:rtl w:val="0"/>
        </w:rPr>
        <w:t xml:space="preserve">; b) Das empresas </w:t>
      </w:r>
      <w:r w:rsidDel="00000000" w:rsidR="00000000" w:rsidRPr="00000000">
        <w:rPr>
          <w:b w:val="1"/>
          <w:bCs w:val="1"/>
          <w:sz w:val="24"/>
          <w:szCs w:val="24"/>
          <w:rtl w:val="0"/>
        </w:rPr>
        <w:t xml:space="preserve">Rio Maria Soluções e Serviços Ltda</w:t>
      </w:r>
      <w:r w:rsidDel="00000000" w:rsidR="00000000" w:rsidRPr="00000000">
        <w:rPr>
          <w:sz w:val="24"/>
          <w:szCs w:val="24"/>
          <w:rtl w:val="0"/>
        </w:rPr>
        <w:t xml:space="preserve">, </w:t>
      </w:r>
      <w:r w:rsidDel="00000000" w:rsidR="00000000" w:rsidRPr="00000000">
        <w:rPr>
          <w:b w:val="1"/>
          <w:bCs w:val="1"/>
          <w:sz w:val="24"/>
          <w:szCs w:val="24"/>
          <w:rtl w:val="0"/>
        </w:rPr>
        <w:t xml:space="preserve">Fabrica de Producoes e Eventos Ltda</w:t>
      </w:r>
      <w:r w:rsidDel="00000000" w:rsidR="00000000" w:rsidRPr="00000000">
        <w:rPr>
          <w:sz w:val="24"/>
          <w:szCs w:val="24"/>
          <w:rtl w:val="0"/>
        </w:rPr>
        <w:t xml:space="preserve">, </w:t>
      </w:r>
      <w:r w:rsidDel="00000000" w:rsidR="00000000" w:rsidRPr="00000000">
        <w:rPr>
          <w:b w:val="1"/>
          <w:bCs w:val="1"/>
          <w:sz w:val="24"/>
          <w:szCs w:val="24"/>
          <w:rtl w:val="0"/>
        </w:rPr>
        <w:t xml:space="preserve">Rotta Entretenimento Ltda</w:t>
      </w:r>
      <w:r w:rsidDel="00000000" w:rsidR="00000000" w:rsidRPr="00000000">
        <w:rPr>
          <w:sz w:val="24"/>
          <w:szCs w:val="24"/>
          <w:rtl w:val="0"/>
        </w:rPr>
        <w:t xml:space="preserve"> e </w:t>
      </w:r>
      <w:r w:rsidDel="00000000" w:rsidR="00000000" w:rsidRPr="00000000">
        <w:rPr>
          <w:b w:val="1"/>
          <w:bCs w:val="1"/>
          <w:sz w:val="24"/>
          <w:szCs w:val="24"/>
          <w:rtl w:val="0"/>
        </w:rPr>
        <w:t xml:space="preserve">Idea Produções e Locações de Estruturas e Iluminação Ltda</w:t>
      </w:r>
      <w:r w:rsidDel="00000000" w:rsidR="00000000" w:rsidRPr="00000000">
        <w:rPr>
          <w:sz w:val="24"/>
          <w:szCs w:val="24"/>
          <w:rtl w:val="0"/>
        </w:rPr>
        <w:t xml:space="preserve">, pela participação em fraude nas cotações e execução contratual.</w:t>
      </w:r>
    </w:p>
    <w:p w:rsidR="00000000" w:rsidDel="00000000" w:rsidP="00000000" w:rsidRDefault="00000000" w:rsidRPr="00000000" w14:paraId="00000086">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DETERMINAR</w:t>
      </w:r>
      <w:r w:rsidDel="00000000" w:rsidR="00000000" w:rsidRPr="00000000">
        <w:rPr>
          <w:sz w:val="24"/>
          <w:szCs w:val="24"/>
          <w:rtl w:val="0"/>
        </w:rPr>
        <w:t xml:space="preserve"> à atual gestão da Prefeitura Municipal de Ipojuca que se abstenha de celebrar novos termos de fomento ou colaboração com as entidades declaradas inidôneas e que aprimore os controles internos para verificação da capacidade operacional das OSCs parceiras.</w:t>
      </w:r>
    </w:p>
    <w:p w:rsidR="00000000" w:rsidDel="00000000" w:rsidP="00000000" w:rsidRDefault="00000000" w:rsidRPr="00000000" w14:paraId="00000087">
      <w:pPr>
        <w:spacing w:line="276"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line="276" w:lineRule="auto"/>
        <w:ind w:left="0" w:firstLine="0"/>
        <w:jc w:val="both"/>
        <w:rPr>
          <w:sz w:val="24"/>
          <w:szCs w:val="24"/>
        </w:rPr>
      </w:pPr>
      <w:r w:rsidDel="00000000" w:rsidR="00000000" w:rsidRPr="00000000">
        <w:rPr>
          <w:sz w:val="24"/>
          <w:szCs w:val="24"/>
          <w:rtl w:val="0"/>
        </w:rPr>
        <w:t xml:space="preserve">Deste modo,</w:t>
      </w:r>
    </w:p>
    <w:p w:rsidR="00000000" w:rsidDel="00000000" w:rsidP="00000000" w:rsidRDefault="00000000" w:rsidRPr="00000000" w14:paraId="00000089">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8A">
      <w:pPr>
        <w:widowControl w:val="0"/>
        <w:spacing w:line="276" w:lineRule="auto"/>
        <w:jc w:val="both"/>
        <w:rPr>
          <w:sz w:val="24"/>
          <w:szCs w:val="24"/>
        </w:rPr>
      </w:pPr>
      <w:r w:rsidDel="00000000" w:rsidR="00000000" w:rsidRPr="00000000">
        <w:rPr>
          <w:sz w:val="24"/>
          <w:szCs w:val="24"/>
          <w:rtl w:val="0"/>
        </w:rPr>
        <w:t xml:space="preserve">Voto no sentido de:</w:t>
      </w:r>
    </w:p>
    <w:p w:rsidR="00000000" w:rsidDel="00000000" w:rsidP="00000000" w:rsidRDefault="00000000" w:rsidRPr="00000000" w14:paraId="0000008B">
      <w:pPr>
        <w:widowControl w:val="0"/>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widowControl w:val="0"/>
        <w:spacing w:after="240" w:before="240" w:line="276" w:lineRule="auto"/>
        <w:jc w:val="both"/>
        <w:rPr>
          <w:sz w:val="24"/>
          <w:szCs w:val="24"/>
        </w:rPr>
      </w:pPr>
      <w:r w:rsidDel="00000000" w:rsidR="00000000" w:rsidRPr="00000000">
        <w:rPr>
          <w:b w:val="1"/>
          <w:bCs w:val="1"/>
          <w:sz w:val="24"/>
          <w:szCs w:val="24"/>
          <w:rtl w:val="0"/>
        </w:rPr>
        <w:t xml:space="preserve">CONSIDERANDO</w:t>
      </w:r>
      <w:r w:rsidDel="00000000" w:rsidR="00000000" w:rsidRPr="00000000">
        <w:rPr>
          <w:sz w:val="24"/>
          <w:szCs w:val="24"/>
          <w:rtl w:val="0"/>
        </w:rPr>
        <w:t xml:space="preserve"> os termos do Relatório de Auditoria e as defesas apresentadas;</w:t>
      </w:r>
    </w:p>
    <w:p w:rsidR="00000000" w:rsidDel="00000000" w:rsidP="00000000" w:rsidRDefault="00000000" w:rsidRPr="00000000" w14:paraId="0000008D">
      <w:pPr>
        <w:widowControl w:val="0"/>
        <w:spacing w:before="240" w:line="276" w:lineRule="auto"/>
        <w:jc w:val="both"/>
        <w:rPr>
          <w:color w:val="ff0000"/>
          <w:sz w:val="24"/>
          <w:szCs w:val="24"/>
        </w:rPr>
      </w:pPr>
      <w:r w:rsidDel="00000000" w:rsidR="00000000" w:rsidRPr="00000000">
        <w:rPr>
          <w:b w:val="1"/>
          <w:bCs w:val="1"/>
          <w:sz w:val="24"/>
          <w:szCs w:val="24"/>
          <w:rtl w:val="0"/>
        </w:rPr>
        <w:t xml:space="preserve">CONSIDERANDO </w:t>
      </w:r>
      <w:r w:rsidDel="00000000" w:rsidR="00000000" w:rsidRPr="00000000">
        <w:rPr>
          <w:rtl w:val="0"/>
        </w:rPr>
      </w:r>
    </w:p>
    <w:p w:rsidR="00000000" w:rsidDel="00000000" w:rsidP="00000000" w:rsidRDefault="00000000" w:rsidRPr="00000000" w14:paraId="0000008E">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8F">
      <w:pPr>
        <w:widowControl w:val="0"/>
        <w:spacing w:befor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before="240" w:line="276" w:lineRule="auto"/>
        <w:jc w:val="both"/>
        <w:rPr>
          <w:b w:val="1"/>
          <w:bCs w:val="1"/>
          <w:color w:val="ff0000"/>
          <w:sz w:val="24"/>
          <w:szCs w:val="24"/>
          <w:highlight w:val="white"/>
        </w:rPr>
      </w:pPr>
      <w:r w:rsidDel="00000000" w:rsidR="00000000" w:rsidRPr="00000000">
        <w:rPr>
          <w:b w:val="1"/>
          <w:bCs w:val="1"/>
          <w:color w:val="ff0000"/>
          <w:sz w:val="24"/>
          <w:szCs w:val="24"/>
          <w:highlight w:val="white"/>
          <w:rtl w:val="0"/>
        </w:rPr>
        <w:t xml:space="preserve">JULGAR regular, com ressalvas</w:t>
      </w:r>
    </w:p>
    <w:p w:rsidR="00000000" w:rsidDel="00000000" w:rsidP="00000000" w:rsidRDefault="00000000" w:rsidRPr="00000000" w14:paraId="00000091">
      <w:pPr>
        <w:widowControl w:val="0"/>
        <w:spacing w:before="240" w:line="276" w:lineRule="auto"/>
        <w:jc w:val="both"/>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76" w:lineRule="auto"/>
        <w:jc w:val="both"/>
        <w:rPr>
          <w:color w:val="ff0000"/>
          <w:sz w:val="24"/>
          <w:szCs w:val="24"/>
        </w:rPr>
      </w:pPr>
      <w:r w:rsidDel="00000000" w:rsidR="00000000" w:rsidRPr="00000000">
        <w:rPr>
          <w:b w:val="1"/>
          <w:bCs w:val="1"/>
          <w:color w:val="ff0000"/>
          <w:sz w:val="24"/>
          <w:szCs w:val="24"/>
          <w:highlight w:val="white"/>
          <w:rtl w:val="0"/>
        </w:rPr>
        <w:t xml:space="preserve">RECOMENDAR</w:t>
      </w:r>
      <w:r w:rsidDel="00000000" w:rsidR="00000000" w:rsidRPr="00000000">
        <w:rPr>
          <w:color w:val="ff0000"/>
          <w:highlight w:val="white"/>
          <w:rtl w:val="0"/>
        </w:rPr>
        <w:t xml:space="preserve">,</w:t>
      </w:r>
      <w:r w:rsidDel="00000000" w:rsidR="00000000" w:rsidRPr="00000000">
        <w:rPr>
          <w:color w:val="ff0000"/>
          <w:sz w:val="24"/>
          <w:szCs w:val="24"/>
          <w:highlight w:val="white"/>
          <w:rtl w:val="0"/>
        </w:rPr>
        <w:t xml:space="preserve"> com base no disposto no art. 69, c/c o art. 70, V, ambos da Lei Estadual nº 12.600/2004,</w:t>
      </w:r>
      <w:r w:rsidDel="00000000" w:rsidR="00000000" w:rsidRPr="00000000">
        <w:rPr>
          <w:color w:val="ff0000"/>
          <w:sz w:val="24"/>
          <w:szCs w:val="24"/>
          <w:rtl w:val="0"/>
        </w:rPr>
        <w:t xml:space="preserve"> aos atuais gestores do(a) xxxxxxxxxx, ou a quem vier a sucedê-los, que adotem as seguintes providências:</w:t>
      </w:r>
    </w:p>
    <w:p w:rsidR="00000000" w:rsidDel="00000000" w:rsidP="00000000" w:rsidRDefault="00000000" w:rsidRPr="00000000" w14:paraId="00000093">
      <w:pPr>
        <w:widowControl w:val="0"/>
        <w:spacing w:line="276" w:lineRule="auto"/>
        <w:jc w:val="both"/>
        <w:rPr>
          <w:color w:val="ff0000"/>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76" w:lineRule="auto"/>
        <w:jc w:val="both"/>
        <w:rPr>
          <w:color w:val="ff0000"/>
          <w:sz w:val="24"/>
          <w:szCs w:val="24"/>
          <w:highlight w:val="white"/>
        </w:rPr>
      </w:pPr>
      <w:r w:rsidDel="00000000" w:rsidR="00000000" w:rsidRPr="00000000">
        <w:rPr>
          <w:color w:val="ff0000"/>
          <w:sz w:val="24"/>
          <w:szCs w:val="24"/>
          <w:highlight w:val="white"/>
          <w:rtl w:val="0"/>
        </w:rPr>
        <w:t xml:space="preserve">1- Ad</w:t>
      </w:r>
    </w:p>
    <w:p w:rsidR="00000000" w:rsidDel="00000000" w:rsidP="00000000" w:rsidRDefault="00000000" w:rsidRPr="00000000" w14:paraId="00000095">
      <w:pPr>
        <w:widowControl w:val="0"/>
        <w:spacing w:line="276" w:lineRule="auto"/>
        <w:jc w:val="both"/>
        <w:rPr>
          <w:color w:val="ff0000"/>
          <w:sz w:val="24"/>
          <w:szCs w:val="24"/>
        </w:rPr>
      </w:pPr>
      <w:r w:rsidDel="00000000" w:rsidR="00000000" w:rsidRPr="00000000">
        <w:rPr>
          <w:color w:val="ff0000"/>
          <w:sz w:val="24"/>
          <w:szCs w:val="24"/>
          <w:highlight w:val="white"/>
          <w:rtl w:val="0"/>
        </w:rPr>
        <w:t xml:space="preserve"> </w:t>
      </w:r>
      <w:r w:rsidDel="00000000" w:rsidR="00000000" w:rsidRPr="00000000">
        <w:rPr>
          <w:rtl w:val="0"/>
        </w:rPr>
      </w:r>
    </w:p>
    <w:p w:rsidR="00000000" w:rsidDel="00000000" w:rsidP="00000000" w:rsidRDefault="00000000" w:rsidRPr="00000000" w14:paraId="00000096">
      <w:pPr>
        <w:widowControl w:val="0"/>
        <w:spacing w:line="276" w:lineRule="auto"/>
        <w:jc w:val="both"/>
        <w:rPr>
          <w:color w:val="ff0000"/>
          <w:sz w:val="24"/>
          <w:szCs w:val="24"/>
        </w:rPr>
      </w:pPr>
      <w:r w:rsidDel="00000000" w:rsidR="00000000" w:rsidRPr="00000000">
        <w:rPr>
          <w:rtl w:val="0"/>
        </w:rPr>
      </w:r>
    </w:p>
    <w:sectPr>
      <w:pgSz w:h="16820" w:w="11900" w:orient="portrait"/>
      <w:pgMar w:bottom="1264.4000244140625" w:top="1684.600830078125" w:left="1813.6000061035156" w:right="1307.59842519685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6ySigBHRHnBKDCKhu0a6Xtrag==">CgMxLjA4AHIhMVI2V25OSG9MN0FBMnNlbnRIb0Q2UUt4VEFaT0hVd2Rw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