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90577D">
      <w:pPr>
        <w:spacing w:after="360"/>
        <w:jc w:val="center"/>
      </w:pPr>
      <w:r>
        <w:rPr>
          <w:rFonts w:ascii="方正小标宋简体" w:hAnsi="方正小标宋简体" w:eastAsia="方正小标宋简体"/>
          <w:b/>
          <w:sz w:val="40"/>
        </w:rPr>
        <w:t>研发营销市场洞察平台应用情况</w:t>
      </w:r>
    </w:p>
    <w:p w14:paraId="3E7CD00E">
      <w:pPr>
        <w:spacing w:before="160" w:after="0"/>
      </w:pPr>
      <w:r>
        <w:rPr>
          <w:rFonts w:ascii="黑体" w:hAnsi="黑体" w:eastAsia="黑体"/>
          <w:b/>
          <w:sz w:val="28"/>
        </w:rPr>
        <w:t>一、平台建设背景</w:t>
      </w:r>
    </w:p>
    <w:p w14:paraId="1B5FAD4E">
      <w:r>
        <w:rPr>
          <w:rFonts w:ascii="仿宋" w:hAnsi="仿宋" w:eastAsia="仿宋"/>
          <w:b w:val="0"/>
          <w:sz w:val="28"/>
        </w:rPr>
        <w:t>为进一步提升研发、市场和销售人员获取外部信息的效率，支撑客户跟进、竞品观察、产品趋势研判和报告输出，公司建设了研发营销市场洞察平台。平台建设前，市场信息主要依靠人工搜索、微信群转发、零散文档整理和个人经验判断，信息来源不统一，客户动态和行业线索容易分散在不同人员手中，后续查找、复盘和形成报告都比较费时。通过建设统一平台，外部公开信息逐步由临时收集转向持续沉淀，由个人整理转向团队共享，由事后汇总转向日常跟踪。</w:t>
      </w:r>
    </w:p>
    <w:p w14:paraId="503AD561">
      <w:pPr>
        <w:spacing w:before="160" w:after="0"/>
      </w:pPr>
      <w:r>
        <w:rPr>
          <w:rFonts w:ascii="黑体" w:hAnsi="黑体" w:eastAsia="黑体"/>
          <w:b/>
          <w:sz w:val="28"/>
        </w:rPr>
        <w:t>二、平台功能应用</w:t>
      </w:r>
    </w:p>
    <w:p w14:paraId="7BAF9864">
      <w:r>
        <w:rPr>
          <w:rFonts w:ascii="仿宋" w:hAnsi="仿宋" w:eastAsia="仿宋"/>
          <w:b w:val="0"/>
          <w:sz w:val="28"/>
        </w:rPr>
        <w:t>平台围绕数据源配置、情报中心、企业档案、报告中心、AI 助手和质量运营等模块开展应用。数据源配置用于维护客户、竞品、行业、政策、专利、电商新品等采集计划，可按企业或主题设置关键词、来源类型、采集周期、筛选规则和权限范围。目前系统已接入百度资讯、博查资讯、行业媒体、电商搜索、财经资讯、政府政策、专利搜索、公众号和企业官网等多类来源，并通过周期调度对到期数据源进行扫描。</w:t>
      </w:r>
    </w:p>
    <w:p w14:paraId="3BBDE4F5">
      <w:pPr>
        <w:spacing w:before="120"/>
        <w:jc w:val="center"/>
      </w:pPr>
      <w:r>
        <w:drawing>
          <wp:inline distT="0" distB="0" distL="114300" distR="114300">
            <wp:extent cx="5111750" cy="2875280"/>
            <wp:effectExtent l="0" t="0" r="1270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87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2FA0B">
      <w:pPr>
        <w:pStyle w:val="164"/>
      </w:pPr>
      <w:r>
        <w:t>图 1：首页看板展示当前监控企业、数据源和情报来源分布</w:t>
      </w:r>
    </w:p>
    <w:p w14:paraId="458549A4">
      <w:pPr>
        <w:spacing w:before="120"/>
        <w:jc w:val="center"/>
      </w:pPr>
      <w:r>
        <w:drawing>
          <wp:inline distT="0" distB="0" distL="114300" distR="114300">
            <wp:extent cx="5111750" cy="2875280"/>
            <wp:effectExtent l="0" t="0" r="1270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87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73A68">
      <w:pPr>
        <w:pStyle w:val="164"/>
      </w:pPr>
      <w:r>
        <w:t>图 3：数据源配置展示采集计划、周期数据源和轻量执行入口</w:t>
      </w:r>
    </w:p>
    <w:p w14:paraId="24848F91">
      <w:r>
        <w:rPr>
          <w:rFonts w:ascii="仿宋" w:hAnsi="仿宋" w:eastAsia="仿宋"/>
          <w:b w:val="0"/>
          <w:sz w:val="28"/>
        </w:rPr>
        <w:t>情报中心用于承接采集结果和人工复核。系统会先形成候选情报，维护人员可根据标题、摘要、来源、标签和相关性判断进行通过、忽略或拒绝；通过后的内容进入正式情报库，并保留原文链接、来源标题、发布时间、摘要、标签、机会点和风险点等信息。企业档案则从客户或竞品维度聚合近期动态，报告中心可基于正式情报和报告素材生成市场洞察周报、竞对动态、客户新品机会、研发课题趋势、政策法规和电商新品监测等报告，并支持人工编辑、版本保存和 HTML、PDF、DOCX 导出。</w:t>
      </w:r>
    </w:p>
    <w:p w14:paraId="00B7A7A6">
      <w:pPr>
        <w:spacing w:before="120"/>
        <w:jc w:val="center"/>
      </w:pPr>
      <w:r>
        <w:drawing>
          <wp:inline distT="0" distB="0" distL="114300" distR="114300">
            <wp:extent cx="5111750" cy="2875280"/>
            <wp:effectExtent l="0" t="0" r="1270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87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40155">
      <w:pPr>
        <w:pStyle w:val="164"/>
      </w:pPr>
      <w:r>
        <w:t>图 2：企业档案按企业聚合近期情报、候选情报和关联数据源</w:t>
      </w:r>
    </w:p>
    <w:p w14:paraId="0BCEE9CB">
      <w:pPr>
        <w:spacing w:before="120"/>
        <w:jc w:val="center"/>
      </w:pPr>
      <w:r>
        <w:drawing>
          <wp:inline distT="0" distB="0" distL="114300" distR="114300">
            <wp:extent cx="5111750" cy="2875280"/>
            <wp:effectExtent l="0" t="0" r="1270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87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D7716">
      <w:pPr>
        <w:pStyle w:val="164"/>
      </w:pPr>
      <w:r>
        <w:t>图 4：报告中心支持素材选取、报告生成、导出和定时报告计划</w:t>
      </w:r>
    </w:p>
    <w:p w14:paraId="62B73192">
      <w:pPr>
        <w:spacing w:before="160" w:after="0"/>
      </w:pPr>
      <w:r>
        <w:rPr>
          <w:rFonts w:ascii="黑体" w:hAnsi="黑体" w:eastAsia="黑体"/>
          <w:b/>
          <w:sz w:val="28"/>
        </w:rPr>
        <w:t>三、与阿里 JVSClaw 协同探索</w:t>
      </w:r>
    </w:p>
    <w:p w14:paraId="6EBDC8A5">
      <w:r>
        <w:rPr>
          <w:rFonts w:ascii="仿宋" w:hAnsi="仿宋" w:eastAsia="仿宋"/>
          <w:b w:val="0"/>
          <w:sz w:val="28"/>
        </w:rPr>
        <w:t>在平台试运行过程中，也同步考虑与阿里 JVSClaw 低代码能力结合使用。市场洞察平台主要负责外部公开信息的采集、清洗、审核、情报沉淀和报告生成；JVSClaw 更适合承接业务表单、流程编排、轻量看板和任务流转。两者结合后，可以形成“外部信息发现—情报审核沉淀—业务线索分派—跟进结果回填—阶段报告复盘”的工作链路。</w:t>
      </w:r>
    </w:p>
    <w:p w14:paraId="51B87515">
      <w:r>
        <w:rPr>
          <w:rFonts w:ascii="仿宋" w:hAnsi="仿宋" w:eastAsia="仿宋"/>
          <w:b w:val="0"/>
          <w:sz w:val="28"/>
        </w:rPr>
        <w:t>目前可先采用比较稳妥的方式推进：一是把市场洞察中已审核的客户动态、竞品动作和政策信息，以链接或摘要方式推送到 JVSClaw 线索台账；二是在 JVSClaw 中建立客户跟进、研发关注、政策解读等轻量流程，由对应人员确认是否需要跟进；三是将处理结论、负责人和完成状态作为运营反馈，再回到市场洞察报告中做阶段复盘。这样既不需要一开始做复杂接口改造，也能让情报从“看到”进一步变成“有人处理、有结果留痕”。</w:t>
      </w:r>
    </w:p>
    <w:p w14:paraId="2DB0B107">
      <w:pPr>
        <w:spacing w:before="160" w:after="0"/>
      </w:pPr>
      <w:r>
        <w:rPr>
          <w:rFonts w:ascii="黑体" w:hAnsi="黑体" w:eastAsia="黑体"/>
          <w:b/>
          <w:sz w:val="28"/>
        </w:rPr>
        <w:t>四、运行数据情况</w:t>
      </w:r>
    </w:p>
    <w:p w14:paraId="49EB6971">
      <w:r>
        <w:rPr>
          <w:rFonts w:ascii="仿宋" w:hAnsi="仿宋" w:eastAsia="仿宋"/>
          <w:b w:val="0"/>
          <w:sz w:val="28"/>
        </w:rPr>
        <w:t>从目前运行情况看，平台已形成较完整的市场信息底座。系统已维护未删除数据源 807 个，其中 805 个已启用周期调度，覆盖综合资讯、行业媒体、电商搜索、财经资讯、专利技术、政府政策、公众号和企业官网等类型。平台已沉淀可用正式情报 2206 条，活跃候选情报 140 条，有效报告素材 1505 条；已生成报告 29 份，模板市场已上架 7 个常用模板。权限方面，平台已按所属公司和授权规则进行隔离，健源、御馨等不同公司账号只能查看本公司范围内的企业、情报和报告，AI 助手和深度研究同样沿用后端权限过滤，回答内容会返回引用来源，避免跨公司读取或引用不该查看的内容。</w:t>
      </w:r>
    </w:p>
    <w:p w14:paraId="1FDFCD83">
      <w:pPr>
        <w:spacing w:before="160" w:after="0"/>
      </w:pPr>
      <w:r>
        <w:rPr>
          <w:rFonts w:ascii="黑体" w:hAnsi="黑体" w:eastAsia="黑体"/>
          <w:b/>
          <w:sz w:val="28"/>
        </w:rPr>
        <w:t>五、应用成效</w:t>
      </w:r>
    </w:p>
    <w:p w14:paraId="7AEABB41">
      <w:r>
        <w:rPr>
          <w:rFonts w:ascii="仿宋" w:hAnsi="仿宋" w:eastAsia="仿宋"/>
          <w:b w:val="0"/>
          <w:sz w:val="28"/>
        </w:rPr>
        <w:t>平台刚上线运行，目前还处在试用和推广阶段，成效主要体现在几个初步变化上。一是外部信息开始有了统一沉淀入口，客户动态、竞品动作、政策法规、专利技术和电商新品等内容不再完全依赖个人临时搜索和转发保存，后续查找和复用会更方便一些；二是情报质量有了基础把关，候选情报经过规则筛选、AI 初筛和人工复核后，再进入正式情报库，能够减少一部分重复、低相关和无效内容；三是报告生成有了素材基础，市场周报、客户动态和专题分析可以先从已审核素材中选取证据，再由人员复核调整，减轻从头搜集资料的工作量；四是权限边界已经初步建立，企业、数据源、情报、报告和模板均可配置可见范围，为后续部门协同打下基础。</w:t>
      </w:r>
    </w:p>
    <w:p w14:paraId="3D3079BE">
      <w:r>
        <w:rPr>
          <w:rFonts w:ascii="仿宋" w:hAnsi="仿宋" w:eastAsia="仿宋"/>
          <w:b w:val="0"/>
          <w:sz w:val="28"/>
        </w:rPr>
        <w:t>从当前使用情况看，平台已</w:t>
      </w:r>
      <w:r>
        <w:rPr>
          <w:rFonts w:hint="eastAsia"/>
          <w:b w:val="0"/>
          <w:sz w:val="28"/>
          <w:lang w:val="en-US" w:eastAsia="zh-CN"/>
        </w:rPr>
        <w:t>基本可以进行</w:t>
      </w:r>
      <w:r>
        <w:rPr>
          <w:rFonts w:ascii="仿宋" w:hAnsi="仿宋" w:eastAsia="仿宋"/>
          <w:b w:val="0"/>
          <w:sz w:val="28"/>
        </w:rPr>
        <w:t>客户专项跟踪、公共行业主题分析、电商新品监测和阶段性深度研究等场景，但距离稳定的日常运营还有一段过程。对研发人员来说，平台可以作为观察产品方向、配料趋势、政策变化和专利信号的辅助工具；对市场和销售人员来说，可以用于补充客户新品、经营动态、渠道动作和潜在合作线索。整体来看，平台已经具备初步可用基础，下一步关键不在于把功能说得多完整，而是通过持续维护数据源、复核情报和复用报告，让业务人员逐步形成使用习惯。</w:t>
      </w:r>
    </w:p>
    <w:p w14:paraId="00C5AED1">
      <w:pPr>
        <w:spacing w:before="160" w:after="0"/>
      </w:pPr>
      <w:r>
        <w:rPr>
          <w:rFonts w:ascii="黑体" w:hAnsi="黑体" w:eastAsia="黑体"/>
          <w:b/>
          <w:sz w:val="28"/>
        </w:rPr>
        <w:t>六、后续优化建议</w:t>
      </w:r>
    </w:p>
    <w:p w14:paraId="37EEF72B">
      <w:r>
        <w:rPr>
          <w:rFonts w:ascii="仿宋" w:hAnsi="仿宋" w:eastAsia="仿宋"/>
          <w:b w:val="0"/>
          <w:sz w:val="28"/>
        </w:rPr>
        <w:t>下一步，建议继续围绕数据质量和业务使用场景做优化。一方面，继续梳理重点客户、竞品和行业主题的数据源，减少无效搜索词和低价值来源，定期复盘高频失败源、重复情报和低相关内容，保证进入正式情报库的内容能被业务人员直接使用。另一方面，要推动情报复核和报告复用形成固定节奏，例如按周维护重点客户动态，按月形成行业或产品专题报告，避免平台只采集不消化。同时，建议结合 JVSClaw 逐步完善线索台账、任务分派和处理反馈，把市场</w:t>
      </w:r>
      <w:bookmarkStart w:id="0" w:name="_GoBack"/>
      <w:bookmarkEnd w:id="0"/>
      <w:r>
        <w:rPr>
          <w:rFonts w:ascii="仿宋" w:hAnsi="仿宋" w:eastAsia="仿宋"/>
          <w:b w:val="0"/>
          <w:sz w:val="28"/>
        </w:rPr>
        <w:t>洞察中的情报内容进一步转化为可跟进、可闭环的业务事项。</w:t>
      </w:r>
    </w:p>
    <w:p w14:paraId="2003774E">
      <w:r>
        <w:rPr>
          <w:rFonts w:ascii="仿宋" w:hAnsi="仿宋" w:eastAsia="仿宋"/>
          <w:b w:val="0"/>
          <w:sz w:val="28"/>
        </w:rPr>
        <w:t>平台能力方面，建议继续完善 DOCX 模板套版、企业微信正式推送、特殊渠道采集和电商商品结构化采集等能力。对于当前还存在反爬、登录、验证码或付费限制的网站，可先纳入暂未实现渠道清单，避免影响常规调度。后续在平台稳定运行的基础上，可逐步把市场洞察经验复制到研发课题、客户经营分析和销售支持等更多场景中。</w:t>
      </w:r>
    </w:p>
    <w:p w14:paraId="3AB75B45">
      <w:pPr>
        <w:spacing w:before="240"/>
        <w:jc w:val="right"/>
      </w:pPr>
      <w:r>
        <w:rPr>
          <w:rFonts w:ascii="仿宋" w:hAnsi="仿宋" w:eastAsia="仿宋"/>
          <w:b w:val="0"/>
          <w:sz w:val="28"/>
        </w:rPr>
        <w:t>信息技术部</w:t>
      </w:r>
    </w:p>
    <w:p w14:paraId="301EF48E">
      <w:pPr>
        <w:spacing w:before="0"/>
        <w:jc w:val="right"/>
      </w:pPr>
      <w:r>
        <w:rPr>
          <w:rFonts w:ascii="仿宋" w:hAnsi="仿宋" w:eastAsia="仿宋"/>
          <w:b w:val="0"/>
          <w:sz w:val="28"/>
        </w:rPr>
        <w:t>2026年6月25日</w:t>
      </w:r>
    </w:p>
    <w:sectPr>
      <w:pgSz w:w="12240" w:h="15840"/>
      <w:pgMar w:top="1440" w:right="1803" w:bottom="1440" w:left="180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9B0EC962-6B47-4ED6-A0A5-EE8AF59C1FAA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2" w:fontKey="{1F48EC15-F137-43FB-A0A8-9D156A78A440}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DF400EA9-1832-4D71-8F48-6C08F6807798}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4" w:fontKey="{2002901D-0FEA-4BFE-AEB0-9969D6EA64A7}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5" w:fontKey="{5F0D9ECE-560F-41B6-9E29-85E54585F1F4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CB107C"/>
    <w:rsid w:val="7C763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  <w:ind w:firstLine="420"/>
    </w:pPr>
    <w:rPr>
      <w:rFonts w:ascii="仿宋" w:hAnsi="仿宋" w:eastAsia="仿宋" w:cstheme="minorBidi"/>
      <w:sz w:val="2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aptionCustom"/>
    <w:qFormat/>
    <w:uiPriority w:val="0"/>
    <w:pPr>
      <w:spacing w:after="160" w:line="276" w:lineRule="auto"/>
      <w:jc w:val="center"/>
    </w:pPr>
    <w:rPr>
      <w:rFonts w:ascii="仿宋" w:hAnsi="仿宋" w:eastAsia="仿宋" w:cstheme="minorBidi"/>
      <w:sz w:val="21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470</Words>
  <Characters>471</Characters>
  <Lines>0</Lines>
  <Paragraphs>0</Paragraphs>
  <TotalTime>0</TotalTime>
  <ScaleCrop>false</ScaleCrop>
  <LinksUpToDate>false</LinksUpToDate>
  <CharactersWithSpaces>474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信息技术部</dc:creator>
  <dc:description>generated by python-docx</dc:description>
  <cp:keywords>市场洞察;应用情况;研发营销;JVSClaw</cp:keywords>
  <cp:lastModifiedBy>那年</cp:lastModifiedBy>
  <dcterms:modified xsi:type="dcterms:W3CDTF">2026-06-25T10:07:01Z</dcterms:modified>
  <dc:subject>市场洞察平台应用情况</dc:subject>
  <dc:title>研发营销市场洞察平台应用情况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eyJoZGlkIjoiZDI4MjkxYmIyYzExMmNiMjE2ZTAzYmFiNmUyMzE3N2MiLCJ1c2VySWQiOiI0MjU5MTg0NDIifQ==</vt:lpwstr>
  </property>
  <property fmtid="{D5CDD505-2E9C-101B-9397-08002B2CF9AE}" pid="3" name="KSOProductBuildVer">
    <vt:lpwstr>2052-12.1.0.26895</vt:lpwstr>
  </property>
  <property fmtid="{D5CDD505-2E9C-101B-9397-08002B2CF9AE}" pid="4" name="ICV">
    <vt:lpwstr>1F410BF4347B4E77BAD2DD76DBCA10D6_12</vt:lpwstr>
  </property>
</Properties>
</file>