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85BDF">
      <w:pPr>
        <w:spacing w:before="0" w:after="160"/>
      </w:pPr>
      <w:r>
        <w:rPr>
          <w:rFonts w:ascii="微软雅黑" w:hAnsi="微软雅黑" w:eastAsia="微软雅黑"/>
          <w:b/>
          <w:color w:val="000000"/>
          <w:sz w:val="40"/>
        </w:rPr>
        <w:t>研发营销市场洞察平台</w:t>
      </w:r>
      <w:bookmarkStart w:id="0" w:name="_GoBack"/>
      <w:bookmarkEnd w:id="0"/>
      <w:r>
        <w:rPr>
          <w:rFonts w:ascii="微软雅黑" w:hAnsi="微软雅黑" w:eastAsia="微软雅黑"/>
          <w:b/>
          <w:color w:val="000000"/>
          <w:sz w:val="40"/>
        </w:rPr>
        <w:t>操作手册</w:t>
      </w:r>
    </w:p>
    <w:p w14:paraId="2C6D635B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文档类型：用户操作手册</w:t>
      </w:r>
    </w:p>
    <w:p w14:paraId="513ED9A5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适用模块：研发营销市场洞察平台</w:t>
      </w:r>
    </w:p>
    <w:p w14:paraId="274D1D75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适用对象：研发、市场、营销、销售、情报维护人员、数据源管理员、报告维护人员、系统管理员</w:t>
      </w:r>
    </w:p>
    <w:p w14:paraId="6DA7B998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版本日期：2026-06-12</w:t>
      </w:r>
    </w:p>
    <w:p w14:paraId="2FDA2B4D">
      <w:pPr>
        <w:pStyle w:val="3"/>
      </w:pPr>
      <w:r>
        <w:rPr>
          <w:rFonts w:ascii="微软雅黑" w:hAnsi="微软雅黑" w:eastAsia="微软雅黑"/>
          <w:b/>
          <w:color w:val="000000"/>
          <w:sz w:val="32"/>
        </w:rPr>
        <w:t>1. 手册说明</w:t>
      </w:r>
    </w:p>
    <w:p w14:paraId="37EF68C6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研发营销市场洞察平台用于持续沉淀外部市场信息、客户动态、竞品动作、新品趋势和公开资料证据，服务研发选题、销售跟进、市场判断和管理层周报输出。</w:t>
      </w:r>
    </w:p>
    <w:p w14:paraId="34F716C6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本手册面向日常使用和业务维护人员，重点说明企业、数据源、情报、报告模板和企业微信推送的维护方法。手册不包含后台运维、接口调试和系统部署等内容。</w:t>
      </w:r>
    </w:p>
    <w:p w14:paraId="5D2A8D74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平台中的报告和情报应以公开来源、可追溯证据和人工复核为基础。报告对外发送前，应确认链接可访问、证据可追溯、内容范围与接收人权限一致。</w:t>
      </w:r>
    </w:p>
    <w:p w14:paraId="5330DC0A">
      <w:pPr>
        <w:pStyle w:val="3"/>
      </w:pPr>
      <w:r>
        <w:rPr>
          <w:rFonts w:ascii="微软雅黑" w:hAnsi="微软雅黑" w:eastAsia="微软雅黑"/>
          <w:b/>
          <w:color w:val="000000"/>
          <w:sz w:val="32"/>
        </w:rPr>
        <w:t>2. 角色与维护范围</w:t>
      </w:r>
    </w:p>
    <w:tbl>
      <w:tblPr>
        <w:tblStyle w:val="32"/>
        <w:tblW w:w="9360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730BB5A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</w:tblPrEx>
        <w:trPr>
          <w:jc w:val="center"/>
        </w:trPr>
        <w:tc>
          <w:tcPr>
            <w:tcW w:w="4680" w:type="dxa"/>
            <w:vAlign w:val="center"/>
          </w:tcPr>
          <w:p w14:paraId="5BAE439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角色</w:t>
            </w:r>
          </w:p>
        </w:tc>
        <w:tc>
          <w:tcPr>
            <w:tcW w:w="4680" w:type="dxa"/>
            <w:vAlign w:val="center"/>
          </w:tcPr>
          <w:p w14:paraId="00E0FBDE">
            <w:pPr>
              <w:spacing w:after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主要职责</w:t>
            </w:r>
          </w:p>
        </w:tc>
      </w:tr>
      <w:tr w14:paraId="5E0EA14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291EFFE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普通使用人</w:t>
            </w:r>
          </w:p>
        </w:tc>
        <w:tc>
          <w:tcPr>
            <w:tcW w:w="4680" w:type="dxa"/>
            <w:vAlign w:val="center"/>
          </w:tcPr>
          <w:p w14:paraId="680371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查看首页看板、检索正式情报、阅读企业档案、查看和打开报告。</w:t>
            </w:r>
          </w:p>
        </w:tc>
      </w:tr>
      <w:tr w14:paraId="3FA828A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76DE3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情报维护人员</w:t>
            </w:r>
          </w:p>
        </w:tc>
        <w:tc>
          <w:tcPr>
            <w:tcW w:w="4680" w:type="dxa"/>
            <w:vAlign w:val="center"/>
          </w:tcPr>
          <w:p w14:paraId="7DE6CD8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审核候选情报，维护正式情报标题、摘要、正文、标签、证据和素材池。</w:t>
            </w:r>
          </w:p>
        </w:tc>
      </w:tr>
      <w:tr w14:paraId="578D576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47CC1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数据源管理员</w:t>
            </w:r>
          </w:p>
        </w:tc>
        <w:tc>
          <w:tcPr>
            <w:tcW w:w="4680" w:type="dxa"/>
            <w:vAlign w:val="center"/>
          </w:tcPr>
          <w:p w14:paraId="48212E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新增和维护采集源，设置关键词、采集周期、筛选规则、启停状态和执行测试。</w:t>
            </w:r>
          </w:p>
        </w:tc>
      </w:tr>
      <w:tr w14:paraId="05258EE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2F6D09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报告维护人员</w:t>
            </w:r>
          </w:p>
        </w:tc>
        <w:tc>
          <w:tcPr>
            <w:tcW w:w="4680" w:type="dxa"/>
            <w:vAlign w:val="center"/>
          </w:tcPr>
          <w:p w14:paraId="5277CE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维护报告模板、生成周报、编辑报告版本、导出 HTML、发起企业微信推送。</w:t>
            </w:r>
          </w:p>
        </w:tc>
      </w:tr>
      <w:tr w14:paraId="3FC3CCA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C4A1C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系统管理员</w:t>
            </w:r>
          </w:p>
        </w:tc>
        <w:tc>
          <w:tcPr>
            <w:tcW w:w="4680" w:type="dxa"/>
            <w:vAlign w:val="center"/>
          </w:tcPr>
          <w:p w14:paraId="0D22BB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维护标签字典、系统配置状态、用户权限、可见性规则和账号映射。</w:t>
            </w:r>
          </w:p>
        </w:tc>
      </w:tr>
    </w:tbl>
    <w:p w14:paraId="05C06747">
      <w:pPr>
        <w:spacing w:after="40"/>
      </w:pPr>
    </w:p>
    <w:p w14:paraId="7E0D34ED">
      <w:pPr>
        <w:pStyle w:val="3"/>
      </w:pPr>
      <w:r>
        <w:rPr>
          <w:rFonts w:ascii="微软雅黑" w:hAnsi="微软雅黑" w:eastAsia="微软雅黑"/>
          <w:b/>
          <w:color w:val="000000"/>
          <w:sz w:val="32"/>
        </w:rPr>
        <w:t>3. 登录与导航</w:t>
      </w:r>
    </w:p>
    <w:p w14:paraId="2B046A24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打开 </w:t>
      </w:r>
      <w:r>
        <w:rPr>
          <w:rFonts w:hint="eastAsia"/>
          <w:b w:val="0"/>
          <w:color w:val="000000"/>
          <w:sz w:val="21"/>
          <w:lang w:val="en-US" w:eastAsia="zh-CN"/>
        </w:rPr>
        <w:t>http://192.168.14.44/insight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并完成登录</w:t>
      </w:r>
      <w:r>
        <w:rPr>
          <w:rFonts w:hint="eastAsia"/>
          <w:b w:val="0"/>
          <w:color w:val="000000"/>
          <w:sz w:val="21"/>
          <w:lang w:eastAsia="zh-CN"/>
        </w:rPr>
        <w:t>（</w:t>
      </w:r>
      <w:r>
        <w:rPr>
          <w:rFonts w:hint="eastAsia"/>
          <w:b w:val="0"/>
          <w:color w:val="000000"/>
          <w:sz w:val="21"/>
          <w:lang w:val="en-US" w:eastAsia="zh-CN"/>
        </w:rPr>
        <w:t>账号：工号；密码：xc@123456</w:t>
      </w:r>
      <w:r>
        <w:rPr>
          <w:rFonts w:hint="eastAsia"/>
          <w:b w:val="0"/>
          <w:color w:val="000000"/>
          <w:sz w:val="21"/>
          <w:lang w:eastAsia="zh-CN"/>
        </w:rPr>
        <w:t>）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p w14:paraId="658DCBFA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进入市场洞察入口。</w:t>
      </w:r>
    </w:p>
    <w:p w14:paraId="66015340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通过左侧导航进入首页看板、情报中心、企业档案、报告中心、数据源配置和系统设置。</w:t>
      </w:r>
    </w:p>
    <w:p w14:paraId="03DFACED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如提示无权限或数据为空，先确认当前账号所属部门、角色和显式授权，再检查对应企业、数据源、情报或报告是否已授权。</w:t>
      </w:r>
    </w:p>
    <w:p w14:paraId="6C15D3C9">
      <w:pPr>
        <w:spacing w:before="80" w:after="60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1：首页看板</w:t>
      </w:r>
    </w:p>
    <w:p w14:paraId="5EF942CC">
      <w:pPr>
        <w:spacing w:after="160"/>
        <w:jc w:val="center"/>
      </w:pPr>
      <w:r>
        <w:drawing>
          <wp:inline distT="0" distB="0" distL="114300" distR="114300">
            <wp:extent cx="5925185" cy="2941955"/>
            <wp:effectExtent l="0" t="0" r="18415" b="1079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36833">
      <w:pPr>
        <w:pStyle w:val="3"/>
      </w:pPr>
      <w:r>
        <w:rPr>
          <w:rFonts w:ascii="微软雅黑" w:hAnsi="微软雅黑" w:eastAsia="微软雅黑"/>
          <w:b/>
          <w:color w:val="000000"/>
          <w:sz w:val="32"/>
        </w:rPr>
        <w:t>4. 日常维护总流程</w:t>
      </w:r>
    </w:p>
    <w:p w14:paraId="2282FCD0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市场洞察的日常维护建议按以下顺序执行：</w:t>
      </w:r>
    </w:p>
    <w:p w14:paraId="0475876F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维护企业或主题：先在企业档案中确认客户、竞品或观察对象是否存在。</w:t>
      </w:r>
    </w:p>
    <w:p w14:paraId="6FCDBC7E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维护数据源：为企业或主题配置搜索关键词、来源类型、采集周期和筛选规则。</w:t>
      </w:r>
    </w:p>
    <w:p w14:paraId="7AEB98F6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执行测试采集：用手动测试验证数据源是否能产生候选情报。</w:t>
      </w:r>
    </w:p>
    <w:p w14:paraId="73EE93E6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审核候选情报：对候选内容执行通过、驳回或忽略。</w:t>
      </w:r>
    </w:p>
    <w:p w14:paraId="282D2647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维护正式情报：补充标题、摘要、正文、来源证据、标签、权限和报告素材标记。</w:t>
      </w:r>
    </w:p>
    <w:p w14:paraId="3D0FFE6A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生成报告：在报告中心选择模板、对象、素材范围和生成要求。</w:t>
      </w:r>
    </w:p>
    <w:p w14:paraId="12E1B15A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复核并导出：检查报告正文、证据和链接，导出 HTML。</w:t>
      </w:r>
    </w:p>
    <w:p w14:paraId="566029FC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推送通知：使用企业微信推送时，卡片应包含标题、简介和可访问链接。</w:t>
      </w:r>
    </w:p>
    <w:p w14:paraId="2BEF7B32">
      <w:pPr>
        <w:pStyle w:val="3"/>
      </w:pPr>
      <w:r>
        <w:rPr>
          <w:rFonts w:ascii="微软雅黑" w:hAnsi="微软雅黑" w:eastAsia="微软雅黑"/>
          <w:b/>
          <w:color w:val="000000"/>
          <w:sz w:val="32"/>
        </w:rPr>
        <w:t>5. 企业与主题维护</w:t>
      </w:r>
    </w:p>
    <w:p w14:paraId="746B8870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5.1 新增企业</w:t>
      </w:r>
    </w:p>
    <w:p w14:paraId="1D91A3A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进入“企业档案”。</w:t>
      </w:r>
    </w:p>
    <w:p w14:paraId="713162F5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点击“新增企业”。</w:t>
      </w:r>
    </w:p>
    <w:p w14:paraId="132257C5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填写企业名称、简称、行业、区域、企业类型、官网、监控级别和描述。</w:t>
      </w:r>
    </w:p>
    <w:p w14:paraId="7CD9EE2C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保存后，在企业详情中继续配置数据源、权限和关联情报。</w:t>
      </w:r>
    </w:p>
    <w:p w14:paraId="065FD434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5.2 查看企业档案</w:t>
      </w:r>
    </w:p>
    <w:p w14:paraId="6A78AEB5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在搜索框输入企业名称、简称或行业关键词。</w:t>
      </w:r>
    </w:p>
    <w:p w14:paraId="536F98F0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点击企业卡片进入详情。</w:t>
      </w:r>
    </w:p>
    <w:p w14:paraId="51571C51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查看基础信息、重点情报、关联数据源、标签和近期动态。</w:t>
      </w:r>
    </w:p>
    <w:p w14:paraId="0AC80417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需要从企业视角继续分析时，可点击关联情报进入情报中心。</w:t>
      </w:r>
    </w:p>
    <w:p w14:paraId="50DA7221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5.3 维护企业权限</w:t>
      </w:r>
    </w:p>
    <w:p w14:paraId="67FA225F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打开企业详情中的权限入口。</w:t>
      </w:r>
    </w:p>
    <w:p w14:paraId="35CAE451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按用户、角色、部门或全员配置查看、编辑或拥有者权限。</w:t>
      </w:r>
    </w:p>
    <w:p w14:paraId="50D00C51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对敏感客户、重点竞品和战略项目，建议使用受限可见范围。</w:t>
      </w:r>
    </w:p>
    <w:p w14:paraId="131A6E05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跨部门共享时优先授权部门或角色，减少逐个用户维护。</w:t>
      </w:r>
    </w:p>
    <w:p w14:paraId="34B7C659">
      <w:pPr>
        <w:spacing w:before="80" w:after="60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2：企业档案</w:t>
      </w:r>
    </w:p>
    <w:p w14:paraId="0E1078B4">
      <w:pPr>
        <w:spacing w:after="160"/>
        <w:jc w:val="center"/>
      </w:pPr>
      <w:r>
        <w:drawing>
          <wp:inline distT="0" distB="0" distL="114300" distR="114300">
            <wp:extent cx="5925185" cy="2941955"/>
            <wp:effectExtent l="0" t="0" r="18415" b="1079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2D9A">
      <w:pPr>
        <w:pStyle w:val="3"/>
      </w:pPr>
      <w:r>
        <w:rPr>
          <w:rFonts w:ascii="微软雅黑" w:hAnsi="微软雅黑" w:eastAsia="微软雅黑"/>
          <w:b/>
          <w:color w:val="000000"/>
          <w:sz w:val="32"/>
        </w:rPr>
        <w:t>6. 数据源维护</w:t>
      </w:r>
    </w:p>
    <w:p w14:paraId="7B85B130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数据源是市场信息进入平台的入口。新增或调整数据源后，应先测试，再进入周期采集。</w:t>
      </w:r>
    </w:p>
    <w:p w14:paraId="0288A41A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6.1 新增数据源</w:t>
      </w:r>
    </w:p>
    <w:p w14:paraId="0D51878F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进入“数据源配置”。</w:t>
      </w:r>
    </w:p>
    <w:p w14:paraId="0DFC72B4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点击“新增数据源”。</w:t>
      </w:r>
    </w:p>
    <w:p w14:paraId="07A3D182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填写数据源名称。</w:t>
      </w:r>
    </w:p>
    <w:p w14:paraId="7EFE12BA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选择数据源类型，例如百度资讯、博查资讯、博查网页、官网、通用网页或多源资讯。</w:t>
      </w:r>
    </w:p>
    <w:p w14:paraId="7E88E037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选择所属企业；如不归属具体企业，可选择不关联企业。</w:t>
      </w:r>
    </w:p>
    <w:p w14:paraId="43C65C3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填写基础 URL 或搜索关键词。</w:t>
      </w:r>
    </w:p>
    <w:p w14:paraId="4EC8F102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设置采集周期，可选手动、每 15 分钟、每小时、每天或自定义 Cron。</w:t>
      </w:r>
    </w:p>
    <w:p w14:paraId="0220DCE4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填写包含词、排除词、最大结果数和抓取数量。</w:t>
      </w:r>
    </w:p>
    <w:p w14:paraId="5879692C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如需 AI 辅助筛选，开启 LLM 筛选并填写筛选提示词。</w:t>
      </w:r>
    </w:p>
    <w:p w14:paraId="0DBC0D98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按业务需要选择是否自动审核。</w:t>
      </w:r>
    </w:p>
    <w:p w14:paraId="6D159661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将状态设为“已启用”并保存。</w:t>
      </w:r>
    </w:p>
    <w:p w14:paraId="66694820">
      <w:pPr>
        <w:spacing w:before="80" w:after="60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3：数据源配置</w:t>
      </w:r>
    </w:p>
    <w:p w14:paraId="1A682B5B">
      <w:pPr>
        <w:spacing w:after="160"/>
        <w:jc w:val="center"/>
      </w:pPr>
      <w:r>
        <w:drawing>
          <wp:inline distT="0" distB="0" distL="114300" distR="114300">
            <wp:extent cx="5925185" cy="2941955"/>
            <wp:effectExtent l="0" t="0" r="18415" b="1079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5D423">
      <w:pPr>
        <w:spacing w:before="80" w:after="60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4：新增数据源</w:t>
      </w:r>
    </w:p>
    <w:p w14:paraId="216A9952">
      <w:pPr>
        <w:spacing w:after="160"/>
        <w:jc w:val="center"/>
      </w:pPr>
      <w:r>
        <w:drawing>
          <wp:inline distT="0" distB="0" distL="114300" distR="114300">
            <wp:extent cx="5925185" cy="2941955"/>
            <wp:effectExtent l="0" t="0" r="18415" b="1079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CD2F8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6.2 编辑、启停和删除</w:t>
      </w:r>
    </w:p>
    <w:p w14:paraId="7745E879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在数据源列表中找到目标数据源。</w:t>
      </w:r>
    </w:p>
    <w:p w14:paraId="603619F1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点击“编辑”可调整名称、关键词、周期、筛选规则和可见范围。</w:t>
      </w:r>
    </w:p>
    <w:p w14:paraId="75ED1FE6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点击“启用”或“停用”控制是否参与采集和调度。</w:t>
      </w:r>
    </w:p>
    <w:p w14:paraId="56544524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点击“加入下一轮调度”可让该数据源进入下一次周期扫描。</w:t>
      </w:r>
    </w:p>
    <w:p w14:paraId="4A5B1DB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删除前应确认该数据源不再承担正式采集任务，并确认历史情报仍能保留必要来源信息。</w:t>
      </w:r>
    </w:p>
    <w:p w14:paraId="4A2D2512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6.3 测试数据源</w:t>
      </w:r>
    </w:p>
    <w:p w14:paraId="6D55CD1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在数据源列表中选中目标数据源。</w:t>
      </w:r>
    </w:p>
    <w:p w14:paraId="5334DD0D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点击“测试”打开测试侧栏。</w:t>
      </w:r>
    </w:p>
    <w:p w14:paraId="5F30B9A6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如需临时调整关键词，可填写临时覆盖关键词。</w:t>
      </w:r>
    </w:p>
    <w:p w14:paraId="10BA3731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点击“测试当前数据源”。</w:t>
      </w:r>
    </w:p>
    <w:p w14:paraId="62E572E7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查看发现数、抓取数和候选数。</w:t>
      </w:r>
    </w:p>
    <w:p w14:paraId="54D818BA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如产生候选情报，可点击“查看该数据源候选情报”进入候选审核。</w:t>
      </w:r>
    </w:p>
    <w:p w14:paraId="13B9CF6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如测试失败，先查看错误提示和执行日志，再调整关键词、URL、来源类型或采集频率。</w:t>
      </w:r>
    </w:p>
    <w:p w14:paraId="7A3459B8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6.4 批量导入数据源</w:t>
      </w:r>
    </w:p>
    <w:p w14:paraId="1AC03787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点击“批量导入”。</w:t>
      </w:r>
    </w:p>
    <w:p w14:paraId="0B80DA6C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按页面要求填写或粘贴数据源配置。</w:t>
      </w:r>
    </w:p>
    <w:p w14:paraId="5CE88182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提交导入后，先抽样测试重点数据源。</w:t>
      </w:r>
    </w:p>
    <w:p w14:paraId="2D4081AA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质量稳定后，再开启较高频率的周期采集。</w:t>
      </w:r>
    </w:p>
    <w:p w14:paraId="27E3F0E4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6.5 调度器和执行日志</w:t>
      </w:r>
    </w:p>
    <w:p w14:paraId="0392ECF7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点击“调度器”查看后台周期采集状态、扫描间隔、最近扫描时间和任务日志。</w:t>
      </w:r>
    </w:p>
    <w:p w14:paraId="152716BD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点击“立即扫描到期任务”可手动触发到期数据源扫描。</w:t>
      </w:r>
    </w:p>
    <w:p w14:paraId="7247B95F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点击“日志”查看最近执行记录。</w:t>
      </w:r>
    </w:p>
    <w:p w14:paraId="2ACB70D8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日志中重点关注状态、开始时间、结束时间、发现数、抓取数、候选数和失败原因。</w:t>
      </w:r>
    </w:p>
    <w:p w14:paraId="1DC474D8">
      <w:pPr>
        <w:pStyle w:val="3"/>
      </w:pPr>
      <w:r>
        <w:rPr>
          <w:rFonts w:ascii="微软雅黑" w:hAnsi="微软雅黑" w:eastAsia="微软雅黑"/>
          <w:b/>
          <w:color w:val="000000"/>
          <w:sz w:val="32"/>
        </w:rPr>
        <w:t>7. 情报中心维护</w:t>
      </w:r>
    </w:p>
    <w:p w14:paraId="61EEA1CA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情报中心包含“正式情报”和“候选审核”。正式情报用于检索、企业档案聚合和报告生成；候选审核用于入库前筛选。</w:t>
      </w:r>
    </w:p>
    <w:p w14:paraId="5A40A266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7.1 查看正式情报</w:t>
      </w:r>
    </w:p>
    <w:p w14:paraId="78ECFFD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进入“情报中心”。</w:t>
      </w:r>
    </w:p>
    <w:p w14:paraId="5C85ED68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确认当前位于“正式情报”页签。</w:t>
      </w:r>
    </w:p>
    <w:p w14:paraId="60715344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在关键词中输入标题、摘要或主题关键词。</w:t>
      </w:r>
    </w:p>
    <w:p w14:paraId="0A71591B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可按主题类型、情报类型、来源或数据源继续筛选。</w:t>
      </w:r>
    </w:p>
    <w:p w14:paraId="11844E38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点击情报标题进入详情。</w:t>
      </w:r>
    </w:p>
    <w:p w14:paraId="00A1C901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对适合报告引用的情报，点击“加入报告素材”。</w:t>
      </w:r>
    </w:p>
    <w:p w14:paraId="1248B65C">
      <w:pPr>
        <w:spacing w:before="80" w:after="60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5：情报中心 - 正式情报</w:t>
      </w:r>
    </w:p>
    <w:p w14:paraId="61755021">
      <w:pPr>
        <w:spacing w:after="160"/>
        <w:jc w:val="center"/>
      </w:pPr>
      <w:r>
        <w:drawing>
          <wp:inline distT="0" distB="0" distL="114300" distR="114300">
            <wp:extent cx="5925185" cy="2941955"/>
            <wp:effectExtent l="0" t="0" r="18415" b="1079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9C2A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7.2 审核候选情报</w:t>
      </w:r>
    </w:p>
    <w:p w14:paraId="0A461E5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切换到“候选审核”页签。</w:t>
      </w:r>
    </w:p>
    <w:p w14:paraId="15082A0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阅读候选标题、摘要、来源、质量分、质量问题和系统建议。</w:t>
      </w:r>
    </w:p>
    <w:p w14:paraId="03680B50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点击“通过”，候选会转为正式情报。</w:t>
      </w:r>
    </w:p>
    <w:p w14:paraId="01720386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点击“驳回”，用于处理明显无关或不适合入库的内容。</w:t>
      </w:r>
    </w:p>
    <w:p w14:paraId="3F9A5798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点击“忽略”，用于处理重复、低价值或暂不处理内容。</w:t>
      </w:r>
    </w:p>
    <w:p w14:paraId="655C29CA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审核后应抽查正式情报中的摘要、来源和标签是否准确。</w:t>
      </w:r>
    </w:p>
    <w:p w14:paraId="4CEF78D0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7.3 维护正式情报详情</w:t>
      </w:r>
    </w:p>
    <w:p w14:paraId="3D299E8D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打开正式情报详情。</w:t>
      </w:r>
    </w:p>
    <w:p w14:paraId="3835C391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阅读标题、来源、发布时间、主题、信息类型、摘要和正文。</w:t>
      </w:r>
    </w:p>
    <w:p w14:paraId="34949EEE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点击“编辑情报”维护标题、摘要、正文、类型、重要性和可见性。</w:t>
      </w:r>
    </w:p>
    <w:p w14:paraId="3B7C8C64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点击“补充来源”维护来源标题、来源类型、来源 URL、发布时间或内容摘录。</w:t>
      </w:r>
    </w:p>
    <w:p w14:paraId="08C9B576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点击“权限”维护查看、编辑或拥有者规则。</w:t>
      </w:r>
    </w:p>
    <w:p w14:paraId="7ED7C97A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点击“收藏”“稍后看”或“报告素材”完成个人和报告场景标记。</w:t>
      </w:r>
    </w:p>
    <w:p w14:paraId="6C9F7B8E">
      <w:pPr>
        <w:spacing w:before="80" w:after="60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6：情报详情</w:t>
      </w:r>
    </w:p>
    <w:p w14:paraId="5302152F">
      <w:pPr>
        <w:spacing w:after="160"/>
        <w:jc w:val="center"/>
      </w:pPr>
      <w:r>
        <w:drawing>
          <wp:inline distT="0" distB="0" distL="114300" distR="114300">
            <wp:extent cx="5925185" cy="2941955"/>
            <wp:effectExtent l="0" t="0" r="18415" b="1079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09C9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7.4 人工新增情报</w:t>
      </w:r>
    </w:p>
    <w:p w14:paraId="6A205342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在情报中心点击“新增情报”。</w:t>
      </w:r>
    </w:p>
    <w:p w14:paraId="0E4B9168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填写标题、摘要、正文、主题类型、情报类型、重要性和可见范围。</w:t>
      </w:r>
    </w:p>
    <w:p w14:paraId="548821B5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填写来源 URL、来源标题或内容摘录，保证证据可追溯。</w:t>
      </w:r>
    </w:p>
    <w:p w14:paraId="2D8C739C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保存后，在正式情报列表中复核展示效果。</w:t>
      </w:r>
    </w:p>
    <w:p w14:paraId="7DFC8781">
      <w:pPr>
        <w:spacing w:after="120" w:line="300" w:lineRule="auto"/>
        <w:rPr>
          <w:rFonts w:ascii="微软雅黑" w:hAnsi="微软雅黑" w:eastAsia="微软雅黑"/>
          <w:b w:val="0"/>
          <w:color w:val="000000"/>
          <w:sz w:val="21"/>
        </w:rPr>
      </w:pPr>
      <w:r>
        <w:rPr>
          <w:rFonts w:ascii="微软雅黑" w:hAnsi="微软雅黑" w:eastAsia="微软雅黑"/>
          <w:b w:val="0"/>
          <w:color w:val="000000"/>
          <w:sz w:val="21"/>
        </w:rPr>
        <w:t>人工新增情报至少应包含标题、摘要、正文和来源信息。缺少来源证据的内容不建议直接用于正式报告交付。</w:t>
      </w:r>
    </w:p>
    <w:p w14:paraId="48AC3775">
      <w:pPr>
        <w:spacing w:after="120" w:line="300" w:lineRule="auto"/>
        <w:rPr>
          <w:rFonts w:ascii="微软雅黑" w:hAnsi="微软雅黑" w:eastAsia="微软雅黑"/>
          <w:b w:val="0"/>
          <w:color w:val="000000"/>
          <w:sz w:val="21"/>
        </w:rPr>
      </w:pPr>
      <w:r>
        <w:drawing>
          <wp:inline distT="0" distB="0" distL="114300" distR="114300">
            <wp:extent cx="5925185" cy="2941955"/>
            <wp:effectExtent l="0" t="0" r="18415" b="1079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A383">
      <w:pPr>
        <w:pStyle w:val="3"/>
      </w:pPr>
      <w:r>
        <w:rPr>
          <w:rFonts w:ascii="微软雅黑" w:hAnsi="微软雅黑" w:eastAsia="微软雅黑"/>
          <w:b/>
          <w:color w:val="000000"/>
          <w:sz w:val="32"/>
        </w:rPr>
        <w:t>8. 报告中心维护</w:t>
      </w:r>
    </w:p>
    <w:p w14:paraId="1D011299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报告中心用于从正式情报和报告素材池生成周报、客户跟进报告和专项分析报告。</w:t>
      </w:r>
    </w:p>
    <w:p w14:paraId="5AB90DB8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8.1 生成报告</w:t>
      </w:r>
    </w:p>
    <w:p w14:paraId="1213D885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进入“报告中心”。</w:t>
      </w:r>
    </w:p>
    <w:p w14:paraId="43D0B9C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选择报告模板。</w:t>
      </w:r>
    </w:p>
    <w:p w14:paraId="571BEDE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填写报告类型和报告对象。</w:t>
      </w:r>
    </w:p>
    <w:p w14:paraId="49A01AD2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选择素材池，默认可使用“默认报告素材”。</w:t>
      </w:r>
    </w:p>
    <w:p w14:paraId="7954EF02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设置素材上限。</w:t>
      </w:r>
    </w:p>
    <w:p w14:paraId="5D184387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如需缩小范围，可按数据源选材。</w:t>
      </w:r>
    </w:p>
    <w:p w14:paraId="23346666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在生成要求中写明报告侧重点，例如“突出研发机会、客户新品和销售跟进线索”。</w:t>
      </w:r>
    </w:p>
    <w:p w14:paraId="2AFF8307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点击“生成报告”。</w:t>
      </w:r>
    </w:p>
    <w:p w14:paraId="4A4E4BE0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生成成功后，在报告历史中打开新报告。</w:t>
      </w:r>
    </w:p>
    <w:p w14:paraId="6E547149">
      <w:pPr>
        <w:spacing w:before="80" w:after="60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7：报告中心</w:t>
      </w:r>
    </w:p>
    <w:p w14:paraId="32B492D4">
      <w:pPr>
        <w:spacing w:after="160"/>
        <w:jc w:val="center"/>
      </w:pPr>
      <w:r>
        <w:drawing>
          <wp:inline distT="0" distB="0" distL="114300" distR="114300">
            <wp:extent cx="5925185" cy="2941955"/>
            <wp:effectExtent l="0" t="0" r="18415" b="1079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C2F30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8.2 复核和编辑报告</w:t>
      </w:r>
    </w:p>
    <w:p w14:paraId="5C15217A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在报告历史中打开目标报告。</w:t>
      </w:r>
    </w:p>
    <w:p w14:paraId="1D11BBCB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阅读摘要、关键发现、机会、风险和引用来源。</w:t>
      </w:r>
    </w:p>
    <w:p w14:paraId="4D519524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检查报告是否覆盖目标客户、目标产品和销售可用信息。</w:t>
      </w:r>
    </w:p>
    <w:p w14:paraId="515FA464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如报告泛泛，应返回情报中心补充更高价值素材，或在生成要求中明确报告对象、场景和筛选范围。</w:t>
      </w:r>
    </w:p>
    <w:p w14:paraId="6CB5874E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如需人工修订，在正文编辑区调整内容。</w:t>
      </w:r>
    </w:p>
    <w:p w14:paraId="3EA8A60C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点击“保存版本”保留人工编辑记录。</w:t>
      </w:r>
    </w:p>
    <w:p w14:paraId="3470418E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8.3 导出 HTML</w:t>
      </w:r>
    </w:p>
    <w:p w14:paraId="7CD1B4F6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打开目标报告。</w:t>
      </w:r>
    </w:p>
    <w:p w14:paraId="283584F2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点击“导出 HTML”。</w:t>
      </w:r>
    </w:p>
    <w:p w14:paraId="3C9131F0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导出成功后，打开 HTML 链接检查排版、证据和跳转。</w:t>
      </w:r>
    </w:p>
    <w:p w14:paraId="5966F321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对外发送时，链接应使用局域网 IP 或正式域名，不使用 `localhost`。</w:t>
      </w:r>
    </w:p>
    <w:p w14:paraId="3E8D09C4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如导出失败，可在导出历史中查看原因并重试。</w:t>
      </w:r>
    </w:p>
    <w:p w14:paraId="02DE9C3E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8.4 维护报告模板</w:t>
      </w:r>
    </w:p>
    <w:p w14:paraId="761ACA19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点击“自定义模板”进入模板管理。</w:t>
      </w:r>
    </w:p>
    <w:p w14:paraId="2F572584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选择系统模板或市场模板并应用。</w:t>
      </w:r>
    </w:p>
    <w:p w14:paraId="1EF7967F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可复制市场模板为个人模板后再调整。</w:t>
      </w:r>
    </w:p>
    <w:p w14:paraId="55FE94FA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维护模板名称、说明、报告类型、默认提示词和章节结构。</w:t>
      </w:r>
    </w:p>
    <w:p w14:paraId="1D592761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可上传 `.docx` 或 `.xlsx` 模板用于解析结构和生成约束。</w:t>
      </w:r>
    </w:p>
    <w:p w14:paraId="65F6FCB9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发布到模板市场前，应确认模板适用范围、章节命名和权限规则。</w:t>
      </w:r>
    </w:p>
    <w:p w14:paraId="046B6BA8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8.5 维护生成偏好</w:t>
      </w:r>
    </w:p>
    <w:p w14:paraId="2F7CB61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点击“生成偏好”。</w:t>
      </w:r>
    </w:p>
    <w:p w14:paraId="36D9FF61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保存常用默认模板、报告类型、素材池、素材上限和生成要求。</w:t>
      </w:r>
    </w:p>
    <w:p w14:paraId="18967177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保存后，下次生成报告时可自动带出常用配置。</w:t>
      </w:r>
    </w:p>
    <w:p w14:paraId="27CBD709">
      <w:pPr>
        <w:pStyle w:val="3"/>
      </w:pPr>
      <w:r>
        <w:rPr>
          <w:rFonts w:ascii="微软雅黑" w:hAnsi="微软雅黑" w:eastAsia="微软雅黑"/>
          <w:b/>
          <w:color w:val="000000"/>
          <w:sz w:val="32"/>
        </w:rPr>
        <w:t>9. 企业微信推送</w:t>
      </w:r>
    </w:p>
    <w:p w14:paraId="08BFF588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企业微信推送用于把报告或情报通知到指定人员。当前阶段应先确认推送记录、链接可访问性和账号映射。</w:t>
      </w:r>
    </w:p>
    <w:p w14:paraId="467D71B3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9.1 推送前检查</w:t>
      </w:r>
    </w:p>
    <w:p w14:paraId="2B5AABAC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当前账号有目标报告或情报的查看权限。</w:t>
      </w:r>
    </w:p>
    <w:p w14:paraId="440C1B25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接收人账号存在，且平台用户工号与企业微信账号映射一致。</w:t>
      </w:r>
    </w:p>
    <w:p w14:paraId="5CB54D7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报告链接使用局域网 IP 或正式域名，不使用 `localhost`。</w:t>
      </w:r>
    </w:p>
    <w:p w14:paraId="2B61E226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报告权限设置为接收人可访问，或测试场景已明确使用公开链接。</w:t>
      </w:r>
    </w:p>
    <w:p w14:paraId="4AA53D5A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推送卡片只展示标题、简介和“查看详情”，不展示内部调试文字、证据 ID 或生成过程。</w:t>
      </w:r>
    </w:p>
    <w:p w14:paraId="5BEBFA20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9.2 发起推送</w:t>
      </w:r>
    </w:p>
    <w:p w14:paraId="59066D2F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打开目标报告或情报详情。</w:t>
      </w:r>
    </w:p>
    <w:p w14:paraId="1D4B1F2D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点击“企微推送”。</w:t>
      </w:r>
    </w:p>
    <w:p w14:paraId="2A2971AD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填写推送标题。标题应明确报告主题，例如“市场洞察周报：茶饮与饮料客户增长机会跟踪”。</w:t>
      </w:r>
    </w:p>
    <w:p w14:paraId="53601B0A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填写简介。简介应概括本期重点，例如新品、渠道、客户动态和销售机会。</w:t>
      </w:r>
    </w:p>
    <w:p w14:paraId="42D060CE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填写接收人工号或选择接收范围。</w:t>
      </w:r>
    </w:p>
    <w:p w14:paraId="65233025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提交推送。</w:t>
      </w:r>
    </w:p>
    <w:p w14:paraId="01FB5DA9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推送后检查推送记录状态和企业微信接收效果。</w:t>
      </w:r>
    </w:p>
    <w:p w14:paraId="0729FA22">
      <w:pPr>
        <w:spacing w:before="80" w:after="60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8：企微推送窗口</w:t>
      </w:r>
    </w:p>
    <w:p w14:paraId="18D2F681">
      <w:pPr>
        <w:spacing w:after="160"/>
        <w:jc w:val="center"/>
      </w:pPr>
      <w:r>
        <w:drawing>
          <wp:inline distT="0" distB="0" distL="114300" distR="114300">
            <wp:extent cx="5925185" cy="2941955"/>
            <wp:effectExtent l="0" t="0" r="18415" b="1079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B27A">
      <w:pPr>
        <w:spacing w:before="80" w:after="60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9：企业微信接收效果</w:t>
      </w:r>
    </w:p>
    <w:p w14:paraId="0D09BF82">
      <w:pPr>
        <w:spacing w:after="160"/>
        <w:jc w:val="center"/>
      </w:pPr>
      <w:r>
        <w:drawing>
          <wp:inline distT="0" distB="0" distL="114300" distR="114300">
            <wp:extent cx="5943600" cy="4133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2C14">
      <w:pPr>
        <w:pStyle w:val="3"/>
      </w:pPr>
      <w:r>
        <w:rPr>
          <w:rFonts w:ascii="微软雅黑" w:hAnsi="微软雅黑" w:eastAsia="微软雅黑"/>
          <w:b/>
          <w:color w:val="000000"/>
          <w:sz w:val="32"/>
        </w:rPr>
        <w:t>10. 系统设置与字典维护</w:t>
      </w:r>
    </w:p>
    <w:p w14:paraId="51C38CC4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系统设置用于查看配置健康状态和维护业务字典。普通业务用户只需关注与数据可用性、推送和标签相关的项目。</w:t>
      </w:r>
    </w:p>
    <w:p w14:paraId="304EE154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10.1 查看配置状态</w:t>
      </w:r>
    </w:p>
    <w:p w14:paraId="7A6A3E35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进入“系统设置”。</w:t>
      </w:r>
    </w:p>
    <w:p w14:paraId="3036DE7D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查看采集、调度、推送、报告和登录配置状态。</w:t>
      </w:r>
    </w:p>
    <w:p w14:paraId="64861A35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如配置显示未启用或需关注，联系管理员确认环境变量、服务状态或账号映射。</w:t>
      </w:r>
    </w:p>
    <w:p w14:paraId="32EACE22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敏感配置只显示是否已配置，不显示明文。</w:t>
      </w:r>
    </w:p>
    <w:p w14:paraId="5B27800B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10.2 维护标签字典</w:t>
      </w:r>
    </w:p>
    <w:p w14:paraId="2D915C3D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在“标签字典”中输入标签名称。</w:t>
      </w:r>
    </w:p>
    <w:p w14:paraId="66F96605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选择标签类型，例如业务标签、主题标签、风险标签或产品标签。</w:t>
      </w:r>
    </w:p>
    <w:p w14:paraId="24CA53F6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点击“新增”。</w:t>
      </w:r>
    </w:p>
    <w:p w14:paraId="5893E7DB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对已有标签可执行编辑或禁用。</w:t>
      </w:r>
    </w:p>
    <w:p w14:paraId="112CEDE2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禁用标签不会删除历史情报，只会阻止后续作为启用标签继续使用。</w:t>
      </w:r>
    </w:p>
    <w:p w14:paraId="67A2F131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10.3 查看情报类型字典</w:t>
      </w:r>
    </w:p>
    <w:p w14:paraId="2059588F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情报类型字典用于统一筛选、展示和报告约束。页面展示类型名称、编码、说明和使用量。如需新增或调整情报类型，应先完成业务口径确认，再按变更流程处理。</w:t>
      </w:r>
    </w:p>
    <w:p w14:paraId="523BE789">
      <w:pPr>
        <w:spacing w:before="80" w:after="60"/>
        <w:jc w:val="center"/>
      </w:pPr>
      <w:r>
        <w:rPr>
          <w:rFonts w:ascii="微软雅黑" w:hAnsi="微软雅黑" w:eastAsia="微软雅黑"/>
          <w:b w:val="0"/>
          <w:color w:val="000000"/>
          <w:sz w:val="18"/>
        </w:rPr>
        <w:t>图 10：系统设置</w:t>
      </w:r>
    </w:p>
    <w:p w14:paraId="74E5031A">
      <w:pPr>
        <w:spacing w:after="160"/>
        <w:jc w:val="center"/>
      </w:pPr>
      <w:r>
        <w:drawing>
          <wp:inline distT="0" distB="0" distL="114300" distR="11430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0808">
      <w:pPr>
        <w:pStyle w:val="3"/>
      </w:pPr>
      <w:r>
        <w:rPr>
          <w:rFonts w:ascii="微软雅黑" w:hAnsi="微软雅黑" w:eastAsia="微软雅黑"/>
          <w:b/>
          <w:color w:val="000000"/>
          <w:sz w:val="32"/>
        </w:rPr>
        <w:t>11. 权限与数据可见性</w:t>
      </w:r>
    </w:p>
    <w:p w14:paraId="1A9F1065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市场洞察平台的权限过滤在后端完成，前端隐藏不作为权限边界。</w:t>
      </w:r>
    </w:p>
    <w:p w14:paraId="6D4529D3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常见可见范围包括：</w:t>
      </w:r>
    </w:p>
    <w:p w14:paraId="66D06239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公开或全员可见。</w:t>
      </w:r>
    </w:p>
    <w:p w14:paraId="45B63B5D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仅拥有者可见。</w:t>
      </w:r>
    </w:p>
    <w:p w14:paraId="58BD5E07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指定用户可见。</w:t>
      </w:r>
    </w:p>
    <w:p w14:paraId="097EE9C7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指定角色可见。</w:t>
      </w:r>
    </w:p>
    <w:p w14:paraId="6826E082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指定部门可见。</w:t>
      </w:r>
    </w:p>
    <w:p w14:paraId="71ED3457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常见权限级别包括：</w:t>
      </w:r>
    </w:p>
    <w:p w14:paraId="42488D04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查看：可阅读列表和详情。</w:t>
      </w:r>
    </w:p>
    <w:p w14:paraId="271829D2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编辑：可修改内容、审核候选或维护配置。</w:t>
      </w:r>
    </w:p>
    <w:p w14:paraId="18797A5E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拥有者：可维护权限和执行高风险操作。</w:t>
      </w:r>
    </w:p>
    <w:p w14:paraId="1A4B56F9">
      <w:pPr>
        <w:spacing w:after="12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维护建议：</w:t>
      </w:r>
    </w:p>
    <w:p w14:paraId="53412EA4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企业、数据源、情报、报告和模板应分别复核权限。</w:t>
      </w:r>
    </w:p>
    <w:p w14:paraId="40EE473D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报告推送前，应确认报告本身和引用情报均不包含越权内容。</w:t>
      </w:r>
    </w:p>
    <w:p w14:paraId="3B31E1B3">
      <w:pPr>
        <w:pStyle w:val="14"/>
        <w:spacing w:after="80" w:line="300" w:lineRule="auto"/>
        <w:ind w:left="547" w:hanging="274"/>
      </w:pPr>
      <w:r>
        <w:rPr>
          <w:rFonts w:ascii="微软雅黑" w:hAnsi="微软雅黑" w:eastAsia="微软雅黑"/>
          <w:b w:val="0"/>
          <w:color w:val="000000"/>
          <w:sz w:val="21"/>
        </w:rPr>
        <w:t>排查“看不到数据”时，优先检查用户所属部门、角色和显式授权规则。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321657"/>
    <w:rsid w:val="48EA05B3"/>
    <w:rsid w:val="4CCC1B5B"/>
    <w:rsid w:val="69BD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647</Words>
  <Characters>691</Characters>
  <Lines>0</Lines>
  <Paragraphs>0</Paragraphs>
  <TotalTime>7</TotalTime>
  <ScaleCrop>false</ScaleCrop>
  <LinksUpToDate>false</LinksUpToDate>
  <CharactersWithSpaces>701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那年</cp:lastModifiedBy>
  <dcterms:modified xsi:type="dcterms:W3CDTF">2026-06-12T09:24:46Z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eyJoZGlkIjoiZDI4MjkxYmIyYzExMmNiMjE2ZTAzYmFiNmUyMzE3N2MiLCJ1c2VySWQiOiI0MjU5MTg0NDIifQ==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7A931403D12A4562BD067C4F78A2D43E_12</vt:lpwstr>
  </property>
</Properties>
</file>