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5C7E0">
      <w:pPr>
        <w:spacing w:before="120" w:after="200"/>
        <w:jc w:val="center"/>
      </w:pPr>
      <w:r>
        <w:rPr>
          <w:rFonts w:ascii="Arial" w:hAnsi="Arial" w:eastAsia="黑体"/>
          <w:b/>
          <w:color w:val="1F2937"/>
          <w:sz w:val="44"/>
        </w:rPr>
        <w:t>《人工智能——深度学习大模型智能体》</w:t>
      </w:r>
    </w:p>
    <w:p w14:paraId="01BA6F16">
      <w:pPr>
        <w:spacing w:before="0" w:after="280"/>
        <w:jc w:val="center"/>
      </w:pPr>
      <w:r>
        <w:rPr>
          <w:rFonts w:ascii="Arial" w:hAnsi="Arial" w:eastAsia="黑体"/>
          <w:b/>
          <w:color w:val="4B5563"/>
          <w:sz w:val="36"/>
        </w:rPr>
        <w:t>实验报告</w:t>
      </w:r>
    </w:p>
    <w:p w14:paraId="4F6965F6">
      <w:pPr>
        <w:spacing w:before="0" w:after="120"/>
        <w:jc w:val="center"/>
      </w:pPr>
      <w:r>
        <w:rPr>
          <w:rFonts w:ascii="Arial" w:hAnsi="Arial" w:eastAsia="黑体"/>
          <w:b/>
          <w:color w:val="0E8A5F"/>
          <w:sz w:val="32"/>
        </w:rPr>
        <w:t>实验作业三</w:t>
      </w:r>
    </w:p>
    <w:p w14:paraId="47016F64">
      <w:pPr>
        <w:spacing w:before="0" w:after="600"/>
        <w:jc w:val="center"/>
      </w:pPr>
      <w:r>
        <w:rPr>
          <w:rFonts w:ascii="Arial" w:hAnsi="Arial" w:eastAsia="黑体"/>
          <w:b/>
          <w:color w:val="1F2937"/>
          <w:sz w:val="40"/>
        </w:rPr>
        <w:t>手搓最小 LLM——使用 CPU 训练</w:t>
      </w:r>
    </w:p>
    <w:p w14:paraId="221311BA">
      <w:pPr>
        <w:spacing w:before="0" w:after="200"/>
        <w:jc w:val="center"/>
      </w:pPr>
      <w:r>
        <w:rPr>
          <w:rFonts w:ascii="Times New Roman" w:hAnsi="Times New Roman" w:eastAsia="宋体"/>
          <w:b w:val="0"/>
          <w:sz w:val="26"/>
        </w:rPr>
        <w:t>姓　　名：</w:t>
      </w:r>
    </w:p>
    <w:p w14:paraId="7E2869F2">
      <w:pPr>
        <w:spacing w:before="0" w:after="200"/>
        <w:jc w:val="center"/>
      </w:pPr>
      <w:r>
        <w:rPr>
          <w:rFonts w:ascii="Times New Roman" w:hAnsi="Times New Roman" w:eastAsia="宋体"/>
          <w:b w:val="0"/>
          <w:sz w:val="26"/>
        </w:rPr>
        <w:t>学　　号：</w:t>
      </w:r>
    </w:p>
    <w:p w14:paraId="2D45D759">
      <w:pPr>
        <w:spacing w:before="0" w:after="200"/>
        <w:jc w:val="center"/>
      </w:pPr>
      <w:r>
        <w:rPr>
          <w:rFonts w:ascii="Times New Roman" w:hAnsi="Times New Roman" w:eastAsia="宋体"/>
          <w:b w:val="0"/>
          <w:sz w:val="26"/>
        </w:rPr>
        <w:t>班　　级：</w:t>
      </w:r>
    </w:p>
    <w:p w14:paraId="5F8A5725">
      <w:pPr>
        <w:spacing w:before="0" w:after="200"/>
        <w:jc w:val="center"/>
      </w:pPr>
      <w:r>
        <w:rPr>
          <w:rFonts w:ascii="Times New Roman" w:hAnsi="Times New Roman" w:eastAsia="宋体"/>
          <w:b w:val="0"/>
          <w:sz w:val="26"/>
        </w:rPr>
        <w:t>完成日期：2026 年 10 月 6 日</w:t>
      </w:r>
    </w:p>
    <w:p w14:paraId="53628378">
      <w:pPr>
        <w:spacing w:before="0" w:after="160"/>
      </w:pPr>
    </w:p>
    <w:p w14:paraId="658AC7F4">
      <w:pPr>
        <w:keepNext/>
        <w:pageBreakBefore/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1  实验概述</w:t>
      </w:r>
    </w:p>
    <w:p w14:paraId="1052E6B2">
      <w:pPr>
        <w:keepNext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1.1  实验目的</w:t>
      </w:r>
    </w:p>
    <w:p w14:paraId="2A386064">
      <w:pPr>
        <w:spacing w:before="0" w:after="120" w:line="276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本实验在 CPU 上从零训练字符级 GPT，通过预测下一字符理解 Transformer 的注意力、位置编码与自回归生成。完成基线、参数量手算、六类对照、五组采样及重复惩罚进阶对比。我使用 Codex 辅助完成实验，具体分工见第 6 节，所有数值来自本机日志。</w:t>
      </w:r>
    </w:p>
    <w:p w14:paraId="6BF7257E">
      <w:pPr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训练使用指南内置的 72 段诗文，共 2163 个字符、699 个不同字符。基线训练损失显著下降，但生成主要复现原文，结论限于小语料上的拟合，不代表未见文本上的泛化或聊天能力。</w:t>
      </w:r>
    </w:p>
    <w:p w14:paraId="54571AB0">
      <w:pPr>
        <w:keepNext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1.2  实验环境</w:t>
      </w:r>
    </w:p>
    <w:p w14:paraId="5023CF76">
      <w:pPr>
        <w:keepNext/>
        <w:spacing w:before="80" w:after="160"/>
        <w:jc w:val="center"/>
      </w:pPr>
      <w:r>
        <w:rPr>
          <w:rFonts w:ascii="Arial" w:hAnsi="Arial" w:eastAsia="黑体"/>
          <w:b/>
          <w:sz w:val="21"/>
        </w:rPr>
        <w:t>表 1  实验环境清单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628"/>
        <w:gridCol w:w="3288"/>
      </w:tblGrid>
      <w:tr w14:paraId="018A5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</w:tcPr>
          <w:p w14:paraId="65516A7A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类别</w:t>
            </w:r>
          </w:p>
        </w:tc>
        <w:tc>
          <w:tcPr>
            <w:tcW w:w="3628" w:type="dxa"/>
          </w:tcPr>
          <w:p w14:paraId="54F06183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名称 / 版本</w:t>
            </w:r>
          </w:p>
        </w:tc>
        <w:tc>
          <w:tcPr>
            <w:tcW w:w="3288" w:type="dxa"/>
          </w:tcPr>
          <w:p w14:paraId="4DA5308C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备注</w:t>
            </w:r>
          </w:p>
        </w:tc>
      </w:tr>
      <w:tr w14:paraId="7AF9B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245CF3DD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操作系统</w:t>
            </w:r>
          </w:p>
        </w:tc>
        <w:tc>
          <w:tcPr>
            <w:tcW w:w="3628" w:type="dxa"/>
          </w:tcPr>
          <w:p w14:paraId="7097F77D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Windows 11</w:t>
            </w:r>
          </w:p>
        </w:tc>
        <w:tc>
          <w:tcPr>
            <w:tcW w:w="3288" w:type="dxa"/>
          </w:tcPr>
          <w:p w14:paraId="57AB6AE2">
            <w:pPr>
              <w:spacing w:before="40" w:after="40" w:line="252" w:lineRule="auto"/>
              <w:jc w:val="left"/>
            </w:pPr>
          </w:p>
        </w:tc>
      </w:tr>
      <w:tr w14:paraId="02E44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4F9A6524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  <w:tc>
          <w:tcPr>
            <w:tcW w:w="3628" w:type="dxa"/>
          </w:tcPr>
          <w:p w14:paraId="30F38C47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3.12.12</w:t>
            </w:r>
          </w:p>
        </w:tc>
        <w:tc>
          <w:tcPr>
            <w:tcW w:w="3288" w:type="dxa"/>
          </w:tcPr>
          <w:p w14:paraId="482BAFDF">
            <w:pPr>
              <w:spacing w:before="40" w:after="40" w:line="252" w:lineRule="auto"/>
              <w:jc w:val="left"/>
            </w:pPr>
          </w:p>
        </w:tc>
      </w:tr>
      <w:tr w14:paraId="37CA1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4FFF2FBD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PyTorch</w:t>
            </w:r>
          </w:p>
        </w:tc>
        <w:tc>
          <w:tcPr>
            <w:tcW w:w="3628" w:type="dxa"/>
          </w:tcPr>
          <w:p w14:paraId="590A6D3C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2.14.1+cpu</w:t>
            </w:r>
          </w:p>
        </w:tc>
        <w:tc>
          <w:tcPr>
            <w:tcW w:w="3288" w:type="dxa"/>
          </w:tcPr>
          <w:p w14:paraId="61675EF8">
            <w:pPr>
              <w:spacing w:before="40" w:after="40" w:line="252" w:lineRule="auto"/>
              <w:jc w:val="left"/>
            </w:pPr>
          </w:p>
        </w:tc>
      </w:tr>
      <w:tr w14:paraId="5336D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2E44CBB0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matplotlib</w:t>
            </w:r>
          </w:p>
        </w:tc>
        <w:tc>
          <w:tcPr>
            <w:tcW w:w="3628" w:type="dxa"/>
          </w:tcPr>
          <w:p w14:paraId="150833D1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3.11.2</w:t>
            </w:r>
          </w:p>
        </w:tc>
        <w:tc>
          <w:tcPr>
            <w:tcW w:w="3288" w:type="dxa"/>
          </w:tcPr>
          <w:p w14:paraId="6B76CA20">
            <w:pPr>
              <w:spacing w:before="40" w:after="40" w:line="252" w:lineRule="auto"/>
              <w:jc w:val="left"/>
            </w:pPr>
          </w:p>
        </w:tc>
      </w:tr>
      <w:tr w14:paraId="38043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0770CC57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 协作工具</w:t>
            </w:r>
          </w:p>
        </w:tc>
        <w:tc>
          <w:tcPr>
            <w:tcW w:w="3628" w:type="dxa"/>
          </w:tcPr>
          <w:p w14:paraId="278B3867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Codex</w:t>
            </w:r>
          </w:p>
        </w:tc>
        <w:tc>
          <w:tcPr>
            <w:tcW w:w="3288" w:type="dxa"/>
          </w:tcPr>
          <w:p w14:paraId="319FA28C">
            <w:pPr>
              <w:spacing w:before="40" w:after="40" w:line="252" w:lineRule="auto"/>
              <w:jc w:val="left"/>
            </w:pPr>
          </w:p>
        </w:tc>
      </w:tr>
    </w:tbl>
    <w:p w14:paraId="7A0B1F66">
      <w:pPr>
        <w:keepNext/>
        <w:pageBreakBefore/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2  基线实验</w:t>
      </w:r>
    </w:p>
    <w:p w14:paraId="7B5057FB">
      <w:pPr>
        <w:keepNext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2.1  基线设置</w:t>
      </w:r>
    </w:p>
    <w:p w14:paraId="71CEC0F0">
      <w:pPr>
        <w:keepNext/>
        <w:spacing w:before="80" w:after="160"/>
        <w:jc w:val="center"/>
      </w:pPr>
      <w:r>
        <w:rPr>
          <w:rFonts w:ascii="Arial" w:hAnsi="Arial" w:eastAsia="黑体"/>
          <w:b/>
          <w:sz w:val="21"/>
        </w:rPr>
        <w:t>表 2  基线配置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4762"/>
      </w:tblGrid>
      <w:tr w14:paraId="7D638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5" w:type="dxa"/>
          </w:tcPr>
          <w:p w14:paraId="08930B42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项（符号）</w:t>
            </w:r>
          </w:p>
        </w:tc>
        <w:tc>
          <w:tcPr>
            <w:tcW w:w="4762" w:type="dxa"/>
          </w:tcPr>
          <w:p w14:paraId="1D72E8E5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基线值</w:t>
            </w:r>
          </w:p>
        </w:tc>
      </w:tr>
      <w:tr w14:paraId="40F3B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5" w:type="dxa"/>
          </w:tcPr>
          <w:p w14:paraId="279BF7E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词表大小 V</w:t>
            </w:r>
          </w:p>
        </w:tc>
        <w:tc>
          <w:tcPr>
            <w:tcW w:w="4762" w:type="dxa"/>
          </w:tcPr>
          <w:p w14:paraId="570094C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运行时打印（本语料 V = 699）</w:t>
            </w:r>
          </w:p>
        </w:tc>
      </w:tr>
      <w:tr w14:paraId="3D3A2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5" w:type="dxa"/>
          </w:tcPr>
          <w:p w14:paraId="0E6B707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嵌入维度 C（n_embd）</w:t>
            </w:r>
          </w:p>
        </w:tc>
        <w:tc>
          <w:tcPr>
            <w:tcW w:w="4762" w:type="dxa"/>
          </w:tcPr>
          <w:p w14:paraId="4642657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</w:tr>
      <w:tr w14:paraId="73384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5" w:type="dxa"/>
          </w:tcPr>
          <w:p w14:paraId="54DDC3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注意力头数 H（n_head）</w:t>
            </w:r>
          </w:p>
        </w:tc>
        <w:tc>
          <w:tcPr>
            <w:tcW w:w="4762" w:type="dxa"/>
          </w:tcPr>
          <w:p w14:paraId="30D775A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4（每头 32 维）</w:t>
            </w:r>
          </w:p>
        </w:tc>
      </w:tr>
      <w:tr w14:paraId="24D61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5" w:type="dxa"/>
          </w:tcPr>
          <w:p w14:paraId="5E1C487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Transformer 层数 L（n_layer）</w:t>
            </w:r>
          </w:p>
        </w:tc>
        <w:tc>
          <w:tcPr>
            <w:tcW w:w="4762" w:type="dxa"/>
          </w:tcPr>
          <w:p w14:paraId="323E02E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 w14:paraId="59577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5" w:type="dxa"/>
          </w:tcPr>
          <w:p w14:paraId="01B02D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上下文长度 T（block_size）</w:t>
            </w:r>
          </w:p>
        </w:tc>
        <w:tc>
          <w:tcPr>
            <w:tcW w:w="4762" w:type="dxa"/>
          </w:tcPr>
          <w:p w14:paraId="59026E7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</w:tr>
      <w:tr w14:paraId="7B2BD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5" w:type="dxa"/>
          </w:tcPr>
          <w:p w14:paraId="47D6691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MLP 隐层</w:t>
            </w:r>
          </w:p>
        </w:tc>
        <w:tc>
          <w:tcPr>
            <w:tcW w:w="4762" w:type="dxa"/>
          </w:tcPr>
          <w:p w14:paraId="10733C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4C = 512，GELU 激活</w:t>
            </w:r>
          </w:p>
        </w:tc>
      </w:tr>
      <w:tr w14:paraId="2DD22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5" w:type="dxa"/>
          </w:tcPr>
          <w:p w14:paraId="39107A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学习率 / 优化器</w:t>
            </w:r>
          </w:p>
        </w:tc>
        <w:tc>
          <w:tcPr>
            <w:tcW w:w="4762" w:type="dxa"/>
          </w:tcPr>
          <w:p w14:paraId="17F09A0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1×10⁻³ / AdamW</w:t>
            </w:r>
          </w:p>
        </w:tc>
      </w:tr>
      <w:tr w14:paraId="5E47E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5" w:type="dxa"/>
          </w:tcPr>
          <w:p w14:paraId="55C86B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批大小 × 训练步数</w:t>
            </w:r>
          </w:p>
        </w:tc>
        <w:tc>
          <w:tcPr>
            <w:tcW w:w="4762" w:type="dxa"/>
          </w:tcPr>
          <w:p w14:paraId="0401E1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32 × 2000</w:t>
            </w:r>
          </w:p>
        </w:tc>
      </w:tr>
    </w:tbl>
    <w:p w14:paraId="31524C47">
      <w:pPr>
        <w:keepNext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2.2  基线结果</w:t>
      </w:r>
    </w:p>
    <w:p w14:paraId="7FC1F572">
      <w:pPr>
        <w:spacing w:before="0" w:after="120" w:line="276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参数量：502,656；初始 loss：6.5668（ln699=6.5497）；最终 loss：0.0277；末 100 步平均：0.0232；训练耗时：104.19 s（1.74 min）。耗时仅统计参数更新循环，采样及绘图另计。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3E616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92" w:type="dxa"/>
            <w:tcMar>
              <w:top w:w="160" w:type="dxa"/>
            </w:tcMar>
          </w:tcPr>
          <w:p w14:paraId="27FDDB42">
            <w:pPr>
              <w:spacing w:after="160" w:line="240" w:lineRule="auto"/>
              <w:jc w:val="center"/>
            </w:pPr>
            <w:r>
              <w:drawing>
                <wp:inline distT="0" distB="0" distL="114300" distR="114300">
                  <wp:extent cx="5486400" cy="3134995"/>
                  <wp:effectExtent l="0" t="0" r="0" b="1905"/>
                  <wp:docPr id="1" name="Picture 1" descr="基线 2000 步训练交叉熵曲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基线 2000 步训练交叉熵曲线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6E2F04">
      <w:pPr>
        <w:spacing w:before="0" w:after="0"/>
      </w:pPr>
    </w:p>
    <w:p w14:paraId="523C95DB">
      <w:pPr>
        <w:keepNext w:val="0"/>
        <w:spacing w:before="80" w:after="160"/>
        <w:jc w:val="center"/>
      </w:pPr>
      <w:r>
        <w:rPr>
          <w:rFonts w:ascii="Arial" w:hAnsi="Arial" w:eastAsia="黑体"/>
          <w:b/>
          <w:sz w:val="21"/>
        </w:rPr>
        <w:t>图 1  基线训练 loss 曲线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5D12B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92" w:type="dxa"/>
          </w:tcPr>
          <w:p w14:paraId="2E2D6C06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提示词「春」，seed=101，temperature=1.0，top-k=20：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春风不度玉门关。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秦时明月汉时关，万里长征人未还。但使龙城飞将在，不教胡马度阴山。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月黑雁飞高，单于夜遁逃。欲将轻骑逐，大雪满弓刀。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好雨知时节，当春乃发生。随风潜入夜，润物细无声。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晓看红湿处，花重锦官城。野径云俱黑，江船火独明。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国破山河在，城春草木深。感时花溅泪，恨别鸟惊心。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烽火连三月，家书抵万金。白头搔更短，浑欲不胜簪。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细草微风岸，危樯独夜舟。星垂平野阔，月涌大江流。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风急天高猿啸哀，渚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提示词「春」，seed=102，temperature=1.0，top-k=20：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春涧中。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红豆生南国，春来发几枝。愿君多采撷，此物最相思。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独坐幽篁里，弹琴复长啸。深林人不知，明月来相照。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君自故乡来，应知故乡事。来日绮窗前，寒梅著花未。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山中相送罢，日暮掩柴扉。春草明年绿，王孙归不归。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花间一壶酒，独酌无相亲。举杯邀明月，对影成三人。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小时不识月，呼作白玉盘。又疑瑶台镜，飞在青云端。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长安一片月，万户捣衣声。秋风吹不尽，总是玉关情。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弃我去者，昨日之日不可留。乱我心者，今日之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提示词「月」，seed=101，temperature=1.0，top-k=20：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月，对影成三人。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小时不识月，呼作白玉盘。又疑瑶台镜，飞在青云端。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长安一片月，万户捣衣声。秋风吹不尽，总是玉关情。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弃我去者，昨日之日不可留。乱我心者，今日之日多烦忧。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抽刀断水水更流，举杯消愁愁更愁。人生在世不称意，明朝散发几枝。愿君。举杯消愁。愿君。愿君多采撷，此物最相思。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独坐幽篁里，弹琴复长啸。深林人不知，明月来相照。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君自故乡来，应知故乡事。来日绮窗前，寒梅著花未。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山中相送罢，日暮掩柴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提示词「月」，seed=102，temperature=1.0，top-k=20：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月下扬州。孤帆远影碧空尽，唯见长江天际流。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李白乘舟将欲行，忽闻岸上踏歌声。桃花潭水深千尺，不及汪伦送我情。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日照香炉生紫烟，遥看瀑布挂前川。飞流直下三千尺，疑是银河落九天。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天门中断楚江开，碧水东流至此回。两岸青山相对出，孤帆一片日边来。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月落乌啼霜满天，江枫渔火对愁眠。姑苏城外寒山寺，夜半钟声到客船。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清明时节雨纷纷，路上行人欲断魂。借问酒家何处有，牧童遥指杏花村。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独在异乡为异客，每逢佳节倍思</w:t>
            </w:r>
          </w:p>
        </w:tc>
      </w:tr>
    </w:tbl>
    <w:p w14:paraId="4A9A27CF">
      <w:pPr>
        <w:spacing w:before="0" w:after="0"/>
      </w:pPr>
    </w:p>
    <w:p w14:paraId="5173FDA4">
      <w:pPr>
        <w:keepNext/>
        <w:pageBreakBefore/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3  参数量手算验证（必做）</w:t>
      </w:r>
    </w:p>
    <w:p w14:paraId="7D4E1AAB">
      <w:pPr>
        <w:keepNext/>
        <w:spacing w:before="120" w:after="160"/>
        <w:jc w:val="center"/>
      </w:pPr>
      <w:r>
        <w:rPr>
          <w:rFonts w:ascii="Arial" w:hAnsi="Arial" w:eastAsia="黑体"/>
          <w:b/>
          <w:sz w:val="21"/>
        </w:rPr>
        <w:t>表 3  参数量手算与代码核对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2608"/>
        <w:gridCol w:w="1474"/>
        <w:gridCol w:w="2154"/>
      </w:tblGrid>
      <w:tr w14:paraId="5F340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21" w:type="dxa"/>
          </w:tcPr>
          <w:p w14:paraId="3F027323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模块</w:t>
            </w:r>
          </w:p>
        </w:tc>
        <w:tc>
          <w:tcPr>
            <w:tcW w:w="2608" w:type="dxa"/>
          </w:tcPr>
          <w:p w14:paraId="78CBE8CF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公式代入过程</w:t>
            </w:r>
          </w:p>
        </w:tc>
        <w:tc>
          <w:tcPr>
            <w:tcW w:w="1474" w:type="dxa"/>
          </w:tcPr>
          <w:p w14:paraId="112A237B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手算结果</w:t>
            </w:r>
          </w:p>
        </w:tc>
        <w:tc>
          <w:tcPr>
            <w:tcW w:w="2154" w:type="dxa"/>
          </w:tcPr>
          <w:p w14:paraId="095AC9A2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代码核对</w:t>
            </w:r>
          </w:p>
        </w:tc>
      </w:tr>
      <w:tr w14:paraId="0A81E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</w:tcPr>
          <w:p w14:paraId="47295E59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词嵌入与输出共享</w:t>
            </w:r>
          </w:p>
        </w:tc>
        <w:tc>
          <w:tcPr>
            <w:tcW w:w="2608" w:type="dxa"/>
          </w:tcPr>
          <w:p w14:paraId="00E3A864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699×128</w:t>
            </w:r>
          </w:p>
        </w:tc>
        <w:tc>
          <w:tcPr>
            <w:tcW w:w="1474" w:type="dxa"/>
          </w:tcPr>
          <w:p w14:paraId="53DCCA08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89,472</w:t>
            </w:r>
          </w:p>
        </w:tc>
        <w:tc>
          <w:tcPr>
            <w:tcW w:w="2154" w:type="dxa"/>
          </w:tcPr>
          <w:p w14:paraId="7AF3CB4F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只计一次</w:t>
            </w:r>
          </w:p>
        </w:tc>
      </w:tr>
      <w:tr w14:paraId="21DDC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</w:tcPr>
          <w:p w14:paraId="3DEDD5B1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可学习位置编码</w:t>
            </w:r>
          </w:p>
        </w:tc>
        <w:tc>
          <w:tcPr>
            <w:tcW w:w="2608" w:type="dxa"/>
          </w:tcPr>
          <w:p w14:paraId="2D74F7A3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128×128</w:t>
            </w:r>
          </w:p>
        </w:tc>
        <w:tc>
          <w:tcPr>
            <w:tcW w:w="1474" w:type="dxa"/>
          </w:tcPr>
          <w:p w14:paraId="4437A5A8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16,384</w:t>
            </w:r>
          </w:p>
        </w:tc>
        <w:tc>
          <w:tcPr>
            <w:tcW w:w="2154" w:type="dxa"/>
          </w:tcPr>
          <w:p w14:paraId="17C8BDD5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一致</w:t>
            </w:r>
          </w:p>
        </w:tc>
      </w:tr>
      <w:tr w14:paraId="0CF3D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</w:tcPr>
          <w:p w14:paraId="626DB352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两个 Transformer 块主权重</w:t>
            </w:r>
          </w:p>
        </w:tc>
        <w:tc>
          <w:tcPr>
            <w:tcW w:w="2608" w:type="dxa"/>
          </w:tcPr>
          <w:p w14:paraId="22C48CC9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2×12×128²</w:t>
            </w:r>
          </w:p>
        </w:tc>
        <w:tc>
          <w:tcPr>
            <w:tcW w:w="1474" w:type="dxa"/>
          </w:tcPr>
          <w:p w14:paraId="20D79818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393,216</w:t>
            </w:r>
          </w:p>
        </w:tc>
        <w:tc>
          <w:tcPr>
            <w:tcW w:w="2154" w:type="dxa"/>
          </w:tcPr>
          <w:p w14:paraId="779244C5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不含偏置及 LN</w:t>
            </w:r>
          </w:p>
        </w:tc>
      </w:tr>
      <w:tr w14:paraId="796D8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</w:tcPr>
          <w:p w14:paraId="0808E3AA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近似合计</w:t>
            </w:r>
          </w:p>
        </w:tc>
        <w:tc>
          <w:tcPr>
            <w:tcW w:w="2608" w:type="dxa"/>
          </w:tcPr>
          <w:p w14:paraId="49C3FD57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89,472+16,384+393,216</w:t>
            </w:r>
          </w:p>
        </w:tc>
        <w:tc>
          <w:tcPr>
            <w:tcW w:w="1474" w:type="dxa"/>
          </w:tcPr>
          <w:p w14:paraId="44C572D8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499,072</w:t>
            </w:r>
          </w:p>
        </w:tc>
        <w:tc>
          <w:tcPr>
            <w:tcW w:w="2154" w:type="dxa"/>
          </w:tcPr>
          <w:p w14:paraId="5D633DCA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误差 0.7130%</w:t>
            </w:r>
          </w:p>
        </w:tc>
      </w:tr>
      <w:tr w14:paraId="7A1DA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</w:tcPr>
          <w:p w14:paraId="217D439C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偏置与 LayerNorm</w:t>
            </w:r>
          </w:p>
        </w:tc>
        <w:tc>
          <w:tcPr>
            <w:tcW w:w="2608" w:type="dxa"/>
          </w:tcPr>
          <w:p w14:paraId="7F1EFC61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2×13×128+2×128</w:t>
            </w:r>
          </w:p>
        </w:tc>
        <w:tc>
          <w:tcPr>
            <w:tcW w:w="1474" w:type="dxa"/>
          </w:tcPr>
          <w:p w14:paraId="4FA1C518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3,584</w:t>
            </w:r>
          </w:p>
        </w:tc>
        <w:tc>
          <w:tcPr>
            <w:tcW w:w="2154" w:type="dxa"/>
          </w:tcPr>
          <w:p w14:paraId="66E2D1EB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纳入精确式</w:t>
            </w:r>
          </w:p>
        </w:tc>
      </w:tr>
      <w:tr w14:paraId="17D85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</w:tcPr>
          <w:p w14:paraId="5A28C5CE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精确合计</w:t>
            </w:r>
          </w:p>
        </w:tc>
        <w:tc>
          <w:tcPr>
            <w:tcW w:w="2608" w:type="dxa"/>
          </w:tcPr>
          <w:p w14:paraId="5C03536C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499,072+3,584</w:t>
            </w:r>
          </w:p>
        </w:tc>
        <w:tc>
          <w:tcPr>
            <w:tcW w:w="1474" w:type="dxa"/>
          </w:tcPr>
          <w:p w14:paraId="5E9D2786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502,656</w:t>
            </w:r>
          </w:p>
        </w:tc>
        <w:tc>
          <w:tcPr>
            <w:tcW w:w="2154" w:type="dxa"/>
          </w:tcPr>
          <w:p w14:paraId="3413AE0D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与代码一致；误差 0%</w:t>
            </w:r>
          </w:p>
        </w:tc>
      </w:tr>
    </w:tbl>
    <w:p w14:paraId="719C3AF3">
      <w:pPr>
        <w:keepNext/>
        <w:pageBreakBefore/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4  对照实验（控制变量）</w:t>
      </w:r>
    </w:p>
    <w:p w14:paraId="7F161AD0">
      <w:pPr>
        <w:keepNext/>
        <w:spacing w:before="120" w:after="160"/>
        <w:jc w:val="center"/>
      </w:pPr>
      <w:r>
        <w:rPr>
          <w:rFonts w:ascii="Arial" w:hAnsi="Arial" w:eastAsia="黑体"/>
          <w:b/>
          <w:sz w:val="21"/>
        </w:rPr>
        <w:t>表 4  对照实验设计与结果记录表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531"/>
        <w:gridCol w:w="850"/>
        <w:gridCol w:w="2381"/>
        <w:gridCol w:w="1020"/>
        <w:gridCol w:w="964"/>
        <w:gridCol w:w="1474"/>
      </w:tblGrid>
      <w:tr w14:paraId="0C50A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" w:type="dxa"/>
          </w:tcPr>
          <w:p w14:paraId="11FFEB5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编号</w:t>
            </w:r>
          </w:p>
        </w:tc>
        <w:tc>
          <w:tcPr>
            <w:tcW w:w="1531" w:type="dxa"/>
          </w:tcPr>
          <w:p w14:paraId="760EBD0C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对照维度</w:t>
            </w:r>
          </w:p>
        </w:tc>
        <w:tc>
          <w:tcPr>
            <w:tcW w:w="850" w:type="dxa"/>
          </w:tcPr>
          <w:p w14:paraId="02E86C1C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基线值</w:t>
            </w:r>
          </w:p>
        </w:tc>
        <w:tc>
          <w:tcPr>
            <w:tcW w:w="2381" w:type="dxa"/>
          </w:tcPr>
          <w:p w14:paraId="792DE8E4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实验值</w:t>
            </w:r>
          </w:p>
        </w:tc>
        <w:tc>
          <w:tcPr>
            <w:tcW w:w="1020" w:type="dxa"/>
          </w:tcPr>
          <w:p w14:paraId="52ABC94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最终 loss</w:t>
            </w:r>
          </w:p>
        </w:tc>
        <w:tc>
          <w:tcPr>
            <w:tcW w:w="964" w:type="dxa"/>
          </w:tcPr>
          <w:p w14:paraId="49FE059C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生成质量</w:t>
            </w:r>
          </w:p>
        </w:tc>
        <w:tc>
          <w:tcPr>
            <w:tcW w:w="1474" w:type="dxa"/>
          </w:tcPr>
          <w:p w14:paraId="535C2AE2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现象简述</w:t>
            </w:r>
          </w:p>
        </w:tc>
      </w:tr>
      <w:tr w14:paraId="3E54A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</w:tcPr>
          <w:p w14:paraId="4B0CC509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exp1</w:t>
            </w:r>
          </w:p>
        </w:tc>
        <w:tc>
          <w:tcPr>
            <w:tcW w:w="1531" w:type="dxa"/>
          </w:tcPr>
          <w:p w14:paraId="0A9A8ECB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学习率</w:t>
            </w:r>
          </w:p>
        </w:tc>
        <w:tc>
          <w:tcPr>
            <w:tcW w:w="850" w:type="dxa"/>
          </w:tcPr>
          <w:p w14:paraId="6CED5F44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0.001</w:t>
            </w:r>
          </w:p>
        </w:tc>
        <w:tc>
          <w:tcPr>
            <w:tcW w:w="2381" w:type="dxa"/>
          </w:tcPr>
          <w:p w14:paraId="7800BB48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 / 0.0001</w:t>
            </w:r>
          </w:p>
        </w:tc>
        <w:tc>
          <w:tcPr>
            <w:tcW w:w="1020" w:type="dxa"/>
          </w:tcPr>
          <w:p w14:paraId="5DF2A79A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0.1513 / 0.6232</w:t>
            </w:r>
          </w:p>
        </w:tc>
        <w:tc>
          <w:tcPr>
            <w:tcW w:w="964" w:type="dxa"/>
          </w:tcPr>
          <w:p w14:paraId="1E43BAB0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2/5 / 1/5</w:t>
            </w:r>
          </w:p>
        </w:tc>
        <w:tc>
          <w:tcPr>
            <w:tcW w:w="1474" w:type="dxa"/>
          </w:tcPr>
          <w:p w14:paraId="704C9077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局部成句，重复和拼接较多；收敛较慢，字词拼接混乱</w:t>
            </w:r>
          </w:p>
        </w:tc>
      </w:tr>
      <w:tr w14:paraId="6AD56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</w:tcPr>
          <w:p w14:paraId="7B948F5B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exp2</w:t>
            </w:r>
          </w:p>
        </w:tc>
        <w:tc>
          <w:tcPr>
            <w:tcW w:w="1531" w:type="dxa"/>
          </w:tcPr>
          <w:p w14:paraId="1C7ADBE0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层数 L</w:t>
            </w:r>
          </w:p>
        </w:tc>
        <w:tc>
          <w:tcPr>
            <w:tcW w:w="850" w:type="dxa"/>
          </w:tcPr>
          <w:p w14:paraId="6B1C5336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381" w:type="dxa"/>
          </w:tcPr>
          <w:p w14:paraId="5AA6E5A1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/ 4</w:t>
            </w:r>
          </w:p>
        </w:tc>
        <w:tc>
          <w:tcPr>
            <w:tcW w:w="1020" w:type="dxa"/>
          </w:tcPr>
          <w:p w14:paraId="7187669B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0.0296 / 0.0294</w:t>
            </w:r>
          </w:p>
        </w:tc>
        <w:tc>
          <w:tcPr>
            <w:tcW w:w="964" w:type="dxa"/>
          </w:tcPr>
          <w:p w14:paraId="08A8F074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4/5 / 4/5</w:t>
            </w:r>
          </w:p>
        </w:tc>
        <w:tc>
          <w:tcPr>
            <w:tcW w:w="1474" w:type="dxa"/>
          </w:tcPr>
          <w:p w14:paraId="7EA60842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多段原句，有局部错误；原句较完整，少量错接</w:t>
            </w:r>
          </w:p>
        </w:tc>
      </w:tr>
      <w:tr w14:paraId="6EB41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</w:tcPr>
          <w:p w14:paraId="1D87D4FB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exp3</w:t>
            </w:r>
          </w:p>
        </w:tc>
        <w:tc>
          <w:tcPr>
            <w:tcW w:w="1531" w:type="dxa"/>
          </w:tcPr>
          <w:p w14:paraId="505A5F27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宽度 C / 头数 H</w:t>
            </w:r>
          </w:p>
        </w:tc>
        <w:tc>
          <w:tcPr>
            <w:tcW w:w="850" w:type="dxa"/>
          </w:tcPr>
          <w:p w14:paraId="3ECC52AC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128 / 4</w:t>
            </w:r>
          </w:p>
        </w:tc>
        <w:tc>
          <w:tcPr>
            <w:tcW w:w="2381" w:type="dxa"/>
          </w:tcPr>
          <w:p w14:paraId="39E07D1C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64/2；256/8</w:t>
            </w:r>
          </w:p>
        </w:tc>
        <w:tc>
          <w:tcPr>
            <w:tcW w:w="1020" w:type="dxa"/>
          </w:tcPr>
          <w:p w14:paraId="3E6955B7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0.0502 / 0.0320</w:t>
            </w:r>
          </w:p>
        </w:tc>
        <w:tc>
          <w:tcPr>
            <w:tcW w:w="964" w:type="dxa"/>
          </w:tcPr>
          <w:p w14:paraId="5A55C3D5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3/5 / 4/5</w:t>
            </w:r>
          </w:p>
        </w:tc>
        <w:tc>
          <w:tcPr>
            <w:tcW w:w="1474" w:type="dxa"/>
          </w:tcPr>
          <w:p w14:paraId="4294756B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原句与错接混合；多段原句，仍非原创</w:t>
            </w:r>
          </w:p>
        </w:tc>
      </w:tr>
      <w:tr w14:paraId="789DD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</w:tcPr>
          <w:p w14:paraId="7BA4B107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exp4</w:t>
            </w:r>
          </w:p>
        </w:tc>
        <w:tc>
          <w:tcPr>
            <w:tcW w:w="1531" w:type="dxa"/>
          </w:tcPr>
          <w:p w14:paraId="44F40A5C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上下文 T</w:t>
            </w:r>
          </w:p>
        </w:tc>
        <w:tc>
          <w:tcPr>
            <w:tcW w:w="850" w:type="dxa"/>
          </w:tcPr>
          <w:p w14:paraId="776321B8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128</w:t>
            </w:r>
          </w:p>
        </w:tc>
        <w:tc>
          <w:tcPr>
            <w:tcW w:w="2381" w:type="dxa"/>
          </w:tcPr>
          <w:p w14:paraId="70D3030D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32</w:t>
            </w:r>
          </w:p>
        </w:tc>
        <w:tc>
          <w:tcPr>
            <w:tcW w:w="1020" w:type="dxa"/>
          </w:tcPr>
          <w:p w14:paraId="5FC32C22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0.0968</w:t>
            </w:r>
          </w:p>
        </w:tc>
        <w:tc>
          <w:tcPr>
            <w:tcW w:w="964" w:type="dxa"/>
          </w:tcPr>
          <w:p w14:paraId="55B4D56F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4/5</w:t>
            </w:r>
          </w:p>
        </w:tc>
        <w:tc>
          <w:tcPr>
            <w:tcW w:w="1474" w:type="dxa"/>
          </w:tcPr>
          <w:p w14:paraId="03332FCE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短句仍可辨，长续写有错接</w:t>
            </w:r>
          </w:p>
        </w:tc>
      </w:tr>
      <w:tr w14:paraId="0A4D1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</w:tcPr>
          <w:p w14:paraId="236BD478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exp5</w:t>
            </w:r>
          </w:p>
        </w:tc>
        <w:tc>
          <w:tcPr>
            <w:tcW w:w="1531" w:type="dxa"/>
          </w:tcPr>
          <w:p w14:paraId="27F886F1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位置编码</w:t>
            </w:r>
          </w:p>
        </w:tc>
        <w:tc>
          <w:tcPr>
            <w:tcW w:w="850" w:type="dxa"/>
          </w:tcPr>
          <w:p w14:paraId="5F42A3DB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有</w:t>
            </w:r>
          </w:p>
        </w:tc>
        <w:tc>
          <w:tcPr>
            <w:tcW w:w="2381" w:type="dxa"/>
          </w:tcPr>
          <w:p w14:paraId="1CC39D27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</w:t>
            </w:r>
          </w:p>
        </w:tc>
        <w:tc>
          <w:tcPr>
            <w:tcW w:w="1020" w:type="dxa"/>
          </w:tcPr>
          <w:p w14:paraId="4CC28E3A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0.0342</w:t>
            </w:r>
          </w:p>
        </w:tc>
        <w:tc>
          <w:tcPr>
            <w:tcW w:w="964" w:type="dxa"/>
          </w:tcPr>
          <w:p w14:paraId="380D0CA2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4/5</w:t>
            </w:r>
          </w:p>
        </w:tc>
        <w:tc>
          <w:tcPr>
            <w:tcW w:w="1474" w:type="dxa"/>
          </w:tcPr>
          <w:p w14:paraId="0584FABE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多段原句，局部漏字重复</w:t>
            </w:r>
          </w:p>
        </w:tc>
      </w:tr>
      <w:tr w14:paraId="3E1E0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</w:tcPr>
          <w:p w14:paraId="0E57A5D2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exp6</w:t>
            </w:r>
          </w:p>
        </w:tc>
        <w:tc>
          <w:tcPr>
            <w:tcW w:w="1531" w:type="dxa"/>
          </w:tcPr>
          <w:p w14:paraId="71E288BE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采样温度</w:t>
            </w:r>
          </w:p>
        </w:tc>
        <w:tc>
          <w:tcPr>
            <w:tcW w:w="850" w:type="dxa"/>
          </w:tcPr>
          <w:p w14:paraId="5FAF1D7E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1.0</w:t>
            </w:r>
          </w:p>
        </w:tc>
        <w:tc>
          <w:tcPr>
            <w:tcW w:w="2381" w:type="dxa"/>
          </w:tcPr>
          <w:p w14:paraId="197F348A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 / 1.5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k=20</w:t>
            </w:r>
          </w:p>
        </w:tc>
        <w:tc>
          <w:tcPr>
            <w:tcW w:w="1020" w:type="dxa"/>
          </w:tcPr>
          <w:p w14:paraId="0ED3D8E8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固定基线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0.0277</w:t>
            </w:r>
          </w:p>
        </w:tc>
        <w:tc>
          <w:tcPr>
            <w:tcW w:w="964" w:type="dxa"/>
          </w:tcPr>
          <w:p w14:paraId="585CBFBF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5/5 / 3/5</w:t>
            </w:r>
          </w:p>
        </w:tc>
        <w:tc>
          <w:tcPr>
            <w:tcW w:w="1474" w:type="dxa"/>
          </w:tcPr>
          <w:p w14:paraId="17ACD482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同一模型，仅改采样温度</w:t>
            </w:r>
          </w:p>
        </w:tc>
      </w:tr>
    </w:tbl>
    <w:p w14:paraId="5EFACABD">
      <w:pPr>
        <w:keepNext/>
        <w:pageBreakBefore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4.1  实验 1：学习率</w:t>
      </w:r>
    </w:p>
    <w:p w14:paraId="429140EB">
      <w:pPr>
        <w:spacing w:before="0" w:after="120" w:line="276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1000 步参照：基线最终 loss=0.0291，第 901–1000 步平均=0.0307，累计训练耗时=51.87 s。单步 loss 受随机截取位置影响，因此同时报告末 100 步平均。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38B28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92" w:type="dxa"/>
            <w:tcMar>
              <w:top w:w="160" w:type="dxa"/>
            </w:tcMar>
          </w:tcPr>
          <w:p w14:paraId="5F54F679">
            <w:pPr>
              <w:spacing w:after="160" w:line="240" w:lineRule="auto"/>
              <w:jc w:val="center"/>
            </w:pPr>
            <w:r>
              <w:drawing>
                <wp:inline distT="0" distB="0" distL="114300" distR="114300">
                  <wp:extent cx="5486400" cy="2821305"/>
                  <wp:effectExtent l="0" t="0" r="0" b="10795"/>
                  <wp:docPr id="2" name="Picture 2" descr="图 2  学习率对照曲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图 2  学习率对照曲线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21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6BCD1">
      <w:pPr>
        <w:spacing w:before="0" w:after="0"/>
      </w:pPr>
    </w:p>
    <w:p w14:paraId="535E36D0">
      <w:pPr>
        <w:keepNext w:val="0"/>
        <w:spacing w:before="80" w:after="160"/>
        <w:jc w:val="center"/>
      </w:pPr>
      <w:r>
        <w:rPr>
          <w:rFonts w:ascii="Arial" w:hAnsi="Arial" w:eastAsia="黑体"/>
          <w:b/>
          <w:sz w:val="21"/>
        </w:rPr>
        <w:t>图 2  学习率对照曲线</w:t>
      </w:r>
    </w:p>
    <w:p w14:paraId="08BBD413">
      <w:pPr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学习率 0.01 的最终 loss=0.1513，末 100 步平均=0.1626；0.0001 分别为 0.6232、0.7247。本次高学习率没有出现 NaN，但训练过程及最终拟合程度需与基线曲线比较，不能把指南中的“可能发散”写成实测已发散。低学习率更新幅度小，在相同步数下学习较慢。</w:t>
      </w:r>
    </w:p>
    <w:p w14:paraId="4CB83CB4">
      <w:pPr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生成原文摘录：</w:t>
      </w:r>
      <w:r>
        <w:rPr>
          <w:rFonts w:ascii="Times New Roman" w:hAnsi="Times New Roman" w:eastAsia="宋体"/>
          <w:b w:val="0"/>
          <w:color w:val="000000"/>
          <w:sz w:val="22"/>
        </w:rPr>
        <w:br w:type="textWrapping"/>
      </w:r>
      <w:r>
        <w:rPr>
          <w:rFonts w:ascii="Times New Roman" w:hAnsi="Times New Roman" w:eastAsia="宋体"/>
          <w:b w:val="0"/>
          <w:color w:val="000000"/>
          <w:sz w:val="22"/>
        </w:rPr>
        <w:t>0.01：「春风，白落乌衣巷火对影共徘火对影盘啼霜影共徊。 / 慈母手水复疑无知己，游子身上衣密密密密密密密密密密密密密密密缝，意恐迟迟迟归。谁言寸草心，报得三春晖。…」</w:t>
      </w:r>
      <w:r>
        <w:rPr>
          <w:rFonts w:ascii="Times New Roman" w:hAnsi="Times New Roman" w:eastAsia="宋体"/>
          <w:b w:val="0"/>
          <w:color w:val="000000"/>
          <w:sz w:val="22"/>
        </w:rPr>
        <w:br w:type="textWrapping"/>
      </w:r>
      <w:r>
        <w:rPr>
          <w:rFonts w:ascii="Times New Roman" w:hAnsi="Times New Roman" w:eastAsia="宋体"/>
          <w:b w:val="0"/>
          <w:color w:val="000000"/>
          <w:sz w:val="22"/>
        </w:rPr>
        <w:t>0.0001：「春风不尽，天光，长安一片月雨不知。 / 怆然而涕下。古秋云白声。晴川历历汉时千里长安一壶。春朝山孤帆远上青云端。 / 花间，独钓寒雨纷，夜光杯，轻舟将西出东花…」。完整原文分别保存在对应 results 目录的 generated.txt。</w:t>
      </w:r>
    </w:p>
    <w:p w14:paraId="4CD69BFE">
      <w:pPr>
        <w:keepNext/>
        <w:pageBreakBefore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4.2  实验 2：层数</w:t>
      </w:r>
    </w:p>
    <w:p w14:paraId="18066D9B">
      <w:pPr>
        <w:spacing w:before="0" w:after="120" w:line="276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层数对照固定 C=128、H=4、T=128，分别使用 1 层和 4 层。更多层增加处理深度，但不保证在极小语料上更好的创作能力。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754D0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92" w:type="dxa"/>
            <w:tcMar>
              <w:top w:w="160" w:type="dxa"/>
            </w:tcMar>
          </w:tcPr>
          <w:p w14:paraId="207D08B7">
            <w:pPr>
              <w:spacing w:after="160" w:line="240" w:lineRule="auto"/>
              <w:jc w:val="center"/>
            </w:pPr>
            <w:r>
              <w:drawing>
                <wp:inline distT="0" distB="0" distL="114300" distR="114300">
                  <wp:extent cx="5486400" cy="2821305"/>
                  <wp:effectExtent l="0" t="0" r="0" b="10795"/>
                  <wp:docPr id="3" name="Picture 3" descr="图 3  层数对照曲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图 3  层数对照曲线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21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E17F9C">
      <w:pPr>
        <w:spacing w:before="0" w:after="0"/>
      </w:pPr>
    </w:p>
    <w:p w14:paraId="53229FAA">
      <w:pPr>
        <w:keepNext w:val="0"/>
        <w:spacing w:before="80" w:after="160"/>
        <w:jc w:val="center"/>
      </w:pPr>
      <w:r>
        <w:rPr>
          <w:rFonts w:ascii="Arial" w:hAnsi="Arial" w:eastAsia="黑体"/>
          <w:b/>
          <w:sz w:val="21"/>
        </w:rPr>
        <w:t>图 3  层数对照曲线</w:t>
      </w:r>
    </w:p>
    <w:p w14:paraId="61DCA5A1">
      <w:pPr>
        <w:keepNext/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1 层：304,384 参数、loss=0.0296、26.28 s；4 层：899,200 参数、loss=0.0294、90.89 s。1 层模型的“春”提示样本能连续复现原诗，但“月”提示出现错接和局部重复。 4 层模型多数样本连续复现原诗，仍有“晴翠柳，晴翠接荒城”等重复拼接。训练 loss 与 1 层非常接近，没有显示同等幅度的质量收益。 结果只支持本语料、种子和步数下的比较。</w:t>
      </w:r>
    </w:p>
    <w:p w14:paraId="799582ED">
      <w:pPr>
        <w:keepNext/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1 层摘录：「春风吹又生。 / 远芳侵古道，晴翠接荒城。又送王孙去，萋萋满别情。 / 千山鸟飞绝，万径人踪灭。孤舟蓑笠翁，独钓寒江雪。 / 鹅，鹅，鹅，曲项向天歌。白毛浮绿水，…」；4 层摘录：「春风吹又生。 / 远芳侵古道，晴翠柳，晴翠接荒城。又送王孙去，萋萋满别情。 / 千山鸟飞绝，万径人踪灭。孤舟蓑笠翁，独钓寒江雪。 / 鹅，鹅，鹅，曲项向天歌。白毛…」。</w:t>
      </w:r>
    </w:p>
    <w:p w14:paraId="1ECF02D1">
      <w:pPr>
        <w:keepNext/>
        <w:pageBreakBefore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4.3  实验 3：嵌入维度</w:t>
      </w:r>
    </w:p>
    <w:p w14:paraId="196365BC">
      <w:pPr>
        <w:spacing w:before="0" w:after="120" w:line="276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宽度对照按指南使用 (C,H)=(64,2)、(128,4)、(256,8)，每头维数均为 32。参数主项随 C² 增长；头数也改变，因此不能独立归因于嵌入维度。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42C9C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92" w:type="dxa"/>
            <w:tcMar>
              <w:top w:w="160" w:type="dxa"/>
            </w:tcMar>
          </w:tcPr>
          <w:p w14:paraId="4B056EEC">
            <w:pPr>
              <w:spacing w:after="160" w:line="240" w:lineRule="auto"/>
              <w:jc w:val="center"/>
            </w:pPr>
            <w:r>
              <w:drawing>
                <wp:inline distT="0" distB="0" distL="114300" distR="114300">
                  <wp:extent cx="5486400" cy="2821305"/>
                  <wp:effectExtent l="0" t="0" r="0" b="10795"/>
                  <wp:docPr id="4" name="Picture 4" descr="图 4  宽度及头数组合对照曲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图 4  宽度及头数组合对照曲线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21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834FDD">
      <w:pPr>
        <w:spacing w:before="0" w:after="0"/>
      </w:pPr>
    </w:p>
    <w:p w14:paraId="01F9CED6">
      <w:pPr>
        <w:keepNext w:val="0"/>
        <w:spacing w:before="80" w:after="160"/>
        <w:jc w:val="center"/>
      </w:pPr>
      <w:r>
        <w:rPr>
          <w:rFonts w:ascii="Arial" w:hAnsi="Arial" w:eastAsia="黑体"/>
          <w:b/>
          <w:sz w:val="21"/>
        </w:rPr>
        <w:t>图 4  宽度及头数组合对照曲线</w:t>
      </w:r>
    </w:p>
    <w:p w14:paraId="29EEB06B">
      <w:pPr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64 维：153,024 参数、loss=0.0502、20.74 s；256 维：1,791,744 参数、loss=0.0320、135.32 s。参数量之比为 11.71，训练耗时之比为 6.52；容量增加主要改善训练拟合，不能从训练 loss 推断泛化。</w:t>
      </w:r>
    </w:p>
    <w:p w14:paraId="1A0377E5">
      <w:pPr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64 维摘录：「春风不与四时同。 / 胜。 / 荷笠带斜阳，青山独归远。苍苍苍竹林寺，杳杳钟声晚。 / 空山不见人，但闻人语响。返景入深林，复照青苔上。 / 人闲桂花落，夜静春山空。…」；256 维摘录：「春风吹又生。 / 远芳侵古道，晴翠接荒城。又送王孙去，萋萋满别情。 / 千山鸟飞绝，万径人踪灭。孤舟蓑笠翁，独钓寒江雪。 / 鹅，鹅，鹅，曲项向天歌。白毛浮绿水，…」。</w:t>
      </w:r>
    </w:p>
    <w:p w14:paraId="09ECC88D">
      <w:pPr>
        <w:keepNext/>
        <w:pageBreakBefore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4.4  实验 4：上下文长度</w:t>
      </w:r>
    </w:p>
    <w:p w14:paraId="5F46ED10">
      <w:pPr>
        <w:spacing w:before="0" w:after="120" w:line="276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上下文从 128 缩短到 32，其余模型设置保持基线。每步处理 token 数由 32×128=4096 降到 32×32=1024；1000 步总 token 数由 409.6 万降到 102.4 万，因此此项并非等 token 预算对照。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73F9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92" w:type="dxa"/>
            <w:tcMar>
              <w:top w:w="160" w:type="dxa"/>
            </w:tcMar>
          </w:tcPr>
          <w:p w14:paraId="6266901A">
            <w:pPr>
              <w:spacing w:after="160" w:line="240" w:lineRule="auto"/>
              <w:jc w:val="center"/>
            </w:pPr>
            <w:r>
              <w:drawing>
                <wp:inline distT="0" distB="0" distL="114300" distR="114300">
                  <wp:extent cx="5486400" cy="2821305"/>
                  <wp:effectExtent l="0" t="0" r="0" b="10795"/>
                  <wp:docPr id="5" name="Picture 5" descr="图 5  上下文长度对照曲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图 5  上下文长度对照曲线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21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15B3A0">
      <w:pPr>
        <w:spacing w:before="0" w:after="0"/>
      </w:pPr>
    </w:p>
    <w:p w14:paraId="3D86FD4B">
      <w:pPr>
        <w:keepNext w:val="0"/>
        <w:spacing w:before="80" w:after="160"/>
        <w:jc w:val="center"/>
      </w:pPr>
      <w:r>
        <w:rPr>
          <w:rFonts w:ascii="Arial" w:hAnsi="Arial" w:eastAsia="黑体"/>
          <w:b/>
          <w:sz w:val="21"/>
        </w:rPr>
        <w:t>图 5  上下文长度对照曲线</w:t>
      </w:r>
    </w:p>
    <w:p w14:paraId="41E2F977">
      <w:pPr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T=32 的最终 loss=0.0968、耗时 16.84 s，约为 1000 步基线的 0.32 倍。较短窗口减少注意力计算和前馈处理量；最多只能直接利用前 32 个字符。32 字窗口仍能复现不少完整原句，但可见“秦时时明月”和长续写中跨诗混接；不能仅以这些局部样本断言其押韵一定更差。 押韵没有单独标注或评分，不能仅凭低 loss 宣称模型掌握韵律。</w:t>
      </w:r>
    </w:p>
    <w:p w14:paraId="02B8A78B">
      <w:pPr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T=32 生成摘录：「春风不度玉门关。 / 秦时时明月汉时关，万里长征人未还。但使龙城飞将在，不教胡马度阴山。 / 月黑雁飞高，单于夜遁逃。欲将轻骑逐，大雪满弓刀。 / 好雨知时节，当…」。</w:t>
      </w:r>
    </w:p>
    <w:p w14:paraId="159FD8F3">
      <w:pPr>
        <w:keepNext/>
        <w:pageBreakBefore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4.5  实验 5：位置编码</w:t>
      </w:r>
    </w:p>
    <w:p w14:paraId="1B548CCB">
      <w:pPr>
        <w:spacing w:before="0" w:after="120" w:line="276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删除可学习位置向量，词嵌入、因果掩码和两层 Transformer 保持不变。参数量减少 TC=16,384。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7650B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9292" w:type="dxa"/>
            <w:tcMar>
              <w:top w:w="160" w:type="dxa"/>
            </w:tcMar>
          </w:tcPr>
          <w:p w14:paraId="1430774A">
            <w:pPr>
              <w:spacing w:after="160" w:line="240" w:lineRule="auto"/>
              <w:jc w:val="center"/>
            </w:pPr>
            <w:r>
              <w:drawing>
                <wp:inline distT="0" distB="0" distL="114300" distR="114300">
                  <wp:extent cx="5486400" cy="2821305"/>
                  <wp:effectExtent l="0" t="0" r="0" b="10795"/>
                  <wp:docPr id="6" name="Picture 6" descr="图 6  位置编码对照曲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图 6  位置编码对照曲线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21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BA22FD">
      <w:pPr>
        <w:spacing w:before="0" w:after="0"/>
      </w:pPr>
    </w:p>
    <w:p w14:paraId="0C6052E6">
      <w:pPr>
        <w:keepNext w:val="0"/>
        <w:spacing w:before="80" w:after="160"/>
        <w:jc w:val="center"/>
      </w:pPr>
      <w:r>
        <w:rPr>
          <w:rFonts w:ascii="Arial" w:hAnsi="Arial" w:eastAsia="黑体"/>
          <w:b/>
          <w:sz w:val="21"/>
        </w:rPr>
        <w:t>图 6  位置编码对照曲线</w:t>
      </w:r>
    </w:p>
    <w:p w14:paraId="56A776F1">
      <w:pPr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无位置编码模型共 486,272 参数，最终 loss=0.0342，末 100 步平均=0.0319。没有显式位置向量时仍能生成多段可辨原诗，但出现“晴空一排云上”的漏字以及重复的“小时不识月”片段。 该结果不等于所有任务都不需要位置编码；本模型仍含因果掩码，其可见前缀结构本身带有顺序信息。</w:t>
      </w:r>
    </w:p>
    <w:p w14:paraId="27C91434">
      <w:pPr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无位置编码生成摘录：「春风吹又生。 / 远芳侵古道，晴翠接荒城。又送王孙去，萋萋满别情。 / 千山鸟飞绝，万径人踪灭。孤舟蓑笠翁，独钓寒江雪。 / 鹅，鹅，鹅，曲项向天歌。白毛浮绿水，…」。</w:t>
      </w:r>
    </w:p>
    <w:p w14:paraId="54BD4DE8">
      <w:pPr>
        <w:keepNext/>
        <w:pageBreakBefore/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5  采样分析（温度与 top-k）</w:t>
      </w:r>
    </w:p>
    <w:p w14:paraId="691BDE6E">
      <w:pPr>
        <w:keepNext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5.1  采样实验记录</w:t>
      </w:r>
    </w:p>
    <w:p w14:paraId="39A2957B">
      <w:pPr>
        <w:keepNext/>
        <w:spacing w:before="80" w:after="160"/>
        <w:jc w:val="center"/>
      </w:pPr>
      <w:r>
        <w:rPr>
          <w:rFonts w:ascii="Arial" w:hAnsi="Arial" w:eastAsia="黑体"/>
          <w:b/>
          <w:sz w:val="21"/>
        </w:rPr>
        <w:t>表 5  固定基线模型的采样记录 每组生成 3 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936"/>
        <w:gridCol w:w="864"/>
        <w:gridCol w:w="4464"/>
        <w:gridCol w:w="2448"/>
      </w:tblGrid>
      <w:tr w14:paraId="68E7F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76" w:type="dxa"/>
          </w:tcPr>
          <w:p w14:paraId="3847E7B9">
            <w:pPr>
              <w:spacing w:before="40" w:after="40" w:line="252" w:lineRule="auto"/>
              <w:jc w:val="left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组</w:t>
            </w:r>
          </w:p>
        </w:tc>
        <w:tc>
          <w:tcPr>
            <w:tcW w:w="936" w:type="dxa"/>
          </w:tcPr>
          <w:p w14:paraId="3047BA43">
            <w:pPr>
              <w:spacing w:before="40" w:after="40" w:line="252" w:lineRule="auto"/>
              <w:jc w:val="left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温度</w:t>
            </w:r>
          </w:p>
        </w:tc>
        <w:tc>
          <w:tcPr>
            <w:tcW w:w="864" w:type="dxa"/>
          </w:tcPr>
          <w:p w14:paraId="4E613846">
            <w:pPr>
              <w:spacing w:before="40" w:after="40" w:line="252" w:lineRule="auto"/>
              <w:jc w:val="left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top-k</w:t>
            </w:r>
          </w:p>
        </w:tc>
        <w:tc>
          <w:tcPr>
            <w:tcW w:w="4464" w:type="dxa"/>
          </w:tcPr>
          <w:p w14:paraId="16391E10">
            <w:pPr>
              <w:spacing w:before="40" w:after="40" w:line="252" w:lineRule="auto"/>
              <w:jc w:val="left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生成原文摘录</w:t>
            </w:r>
          </w:p>
        </w:tc>
        <w:tc>
          <w:tcPr>
            <w:tcW w:w="2448" w:type="dxa"/>
          </w:tcPr>
          <w:p w14:paraId="635131A9">
            <w:pPr>
              <w:spacing w:before="40" w:after="40" w:line="252" w:lineRule="auto"/>
              <w:jc w:val="left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现象与分析</w:t>
            </w:r>
          </w:p>
        </w:tc>
      </w:tr>
      <w:tr w14:paraId="5D0F4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</w:tcPr>
          <w:p w14:paraId="01B8F80F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936" w:type="dxa"/>
          </w:tcPr>
          <w:p w14:paraId="188AA566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1.0</w:t>
            </w:r>
          </w:p>
        </w:tc>
        <w:tc>
          <w:tcPr>
            <w:tcW w:w="864" w:type="dxa"/>
          </w:tcPr>
          <w:p w14:paraId="61E9DA73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</w:t>
            </w:r>
          </w:p>
        </w:tc>
        <w:tc>
          <w:tcPr>
            <w:tcW w:w="4464" w:type="dxa"/>
          </w:tcPr>
          <w:p w14:paraId="70DB354B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seed=101：春风不度玉门关。 / 秦时明月汉时关，万里长征人未还。但使龙城飞…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seed=102：春涧中。 / 红豆生南国，春来发几枝。愿君多采撷，此物最相思。 / …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seed=103：春草明年绿，王孙归不归。 / 花间一壶酒，独酌无相亲。举杯邀明月…</w:t>
            </w:r>
          </w:p>
        </w:tc>
        <w:tc>
          <w:tcPr>
            <w:tcW w:w="2448" w:type="dxa"/>
          </w:tcPr>
          <w:p w14:paraId="14CB43A7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重复率 0.2%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原文匹配 100.0%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三段均沿语料原文续写，局部重复很少。</w:t>
            </w:r>
          </w:p>
        </w:tc>
      </w:tr>
      <w:tr w14:paraId="49B05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</w:tcPr>
          <w:p w14:paraId="4CDFB9B5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936" w:type="dxa"/>
          </w:tcPr>
          <w:p w14:paraId="365A0C73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</w:t>
            </w:r>
          </w:p>
        </w:tc>
        <w:tc>
          <w:tcPr>
            <w:tcW w:w="864" w:type="dxa"/>
          </w:tcPr>
          <w:p w14:paraId="0DBA2A21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</w:t>
            </w:r>
          </w:p>
        </w:tc>
        <w:tc>
          <w:tcPr>
            <w:tcW w:w="4464" w:type="dxa"/>
          </w:tcPr>
          <w:p w14:paraId="2B1A11E3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seed=101：春风吹又生。 / 远芳侵古道，晴翠接荒城。又送王孙去，萋萋满别情…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seed=102：春涧中。 / 红豆生南国，春来发几枝。愿君多采撷，此物最相思。 / …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seed=103：春草明年绿，王孙归不归。 / 花间一壶酒，独酌无相亲。举杯邀明月…</w:t>
            </w:r>
          </w:p>
        </w:tc>
        <w:tc>
          <w:tcPr>
            <w:tcW w:w="2448" w:type="dxa"/>
          </w:tcPr>
          <w:p w14:paraId="26EEDE4F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重复率 0.5%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原文匹配 100.0%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原文续写完整；三字符重复仍少，不存在必然循环。</w:t>
            </w:r>
          </w:p>
        </w:tc>
      </w:tr>
      <w:tr w14:paraId="71E5F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</w:tcPr>
          <w:p w14:paraId="7B324399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936" w:type="dxa"/>
          </w:tcPr>
          <w:p w14:paraId="7F6FE77A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1.5</w:t>
            </w:r>
          </w:p>
        </w:tc>
        <w:tc>
          <w:tcPr>
            <w:tcW w:w="864" w:type="dxa"/>
          </w:tcPr>
          <w:p w14:paraId="503AA2EC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</w:t>
            </w:r>
          </w:p>
        </w:tc>
        <w:tc>
          <w:tcPr>
            <w:tcW w:w="4464" w:type="dxa"/>
          </w:tcPr>
          <w:p w14:paraId="1D008E3A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seed=101：春风不度玉门盘。又疑是一片日出西边来边雨，逢秋风吹不尽，总处…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seed=102：春涧中。 / 红豆生南国，春来发几枝。愿君多采撷，此物最相思。 / …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seed=103：春草明年绿，王孙归不归。 / 花间一壶酒，独酌无相。举杯邀明月，…</w:t>
            </w:r>
          </w:p>
        </w:tc>
        <w:tc>
          <w:tcPr>
            <w:tcW w:w="2448" w:type="dxa"/>
          </w:tcPr>
          <w:p w14:paraId="4F5CBFBA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重复率 1.3%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原文匹配 64.6%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seed101 出现错字和跨诗混接，另外两段仍保留较多原句。</w:t>
            </w:r>
          </w:p>
        </w:tc>
      </w:tr>
      <w:tr w14:paraId="7450D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</w:tcPr>
          <w:p w14:paraId="520C8C55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936" w:type="dxa"/>
          </w:tcPr>
          <w:p w14:paraId="0A4235FD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1.0</w:t>
            </w:r>
          </w:p>
        </w:tc>
        <w:tc>
          <w:tcPr>
            <w:tcW w:w="864" w:type="dxa"/>
          </w:tcPr>
          <w:p w14:paraId="13D3A674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4464" w:type="dxa"/>
          </w:tcPr>
          <w:p w14:paraId="7C14413F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seed=101：春色来天地，玉垒浮云变古今。 / 独怜幽草涧边生，上有黄鹂深树鸣…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seed=102：春涧中。 / 红豆生南国，春来发几枝。愿君多采撷，此物最相思。 / …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seed=103：春草明年绿，王孙归不归。 / 花间一壶酒，独酌无相亲。举杯邀明月…</w:t>
            </w:r>
          </w:p>
        </w:tc>
        <w:tc>
          <w:tcPr>
            <w:tcW w:w="2448" w:type="dxa"/>
          </w:tcPr>
          <w:p w14:paraId="0AC8DC18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重复率 0.2%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原文匹配 100.0%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候选更少，三段均复现原文，起始续文可与 k=20 不同。</w:t>
            </w:r>
          </w:p>
        </w:tc>
      </w:tr>
      <w:tr w14:paraId="75A90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</w:tcPr>
          <w:p w14:paraId="7BAAAC84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936" w:type="dxa"/>
          </w:tcPr>
          <w:p w14:paraId="000ACBF6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1.0</w:t>
            </w:r>
          </w:p>
        </w:tc>
        <w:tc>
          <w:tcPr>
            <w:tcW w:w="864" w:type="dxa"/>
          </w:tcPr>
          <w:p w14:paraId="66F03A48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不限</w:t>
            </w:r>
          </w:p>
        </w:tc>
        <w:tc>
          <w:tcPr>
            <w:tcW w:w="4464" w:type="dxa"/>
          </w:tcPr>
          <w:p w14:paraId="0D0C41C8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seed=101：春风不度玉门关。 / 秦时明月汉时关，万里长征人未还。但使龙城飞…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seed=102：春涧中。 / 红豆生南国，春来发几枝。愿君多采撷，此物最相思。 / …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seed=103：春草明年绿，王孙归不归。 / 花间一壶酒，独酌无相亲。举杯邀明月…</w:t>
            </w:r>
          </w:p>
        </w:tc>
        <w:tc>
          <w:tcPr>
            <w:tcW w:w="2448" w:type="dxa"/>
          </w:tcPr>
          <w:p w14:paraId="28E6ECDB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重复率 0.2%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原文匹配 100.0%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三段与 k=20 的同种子输出逐字相同，说明这里尾部概率影响很小。</w:t>
            </w:r>
          </w:p>
        </w:tc>
      </w:tr>
    </w:tbl>
    <w:p w14:paraId="1D38F2FC">
      <w:pPr>
        <w:keepNext/>
        <w:pageBreakBefore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5.2  生成对比分析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48E4D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92" w:type="dxa"/>
            <w:tcMar>
              <w:top w:w="160" w:type="dxa"/>
            </w:tcMar>
          </w:tcPr>
          <w:p w14:paraId="79B61972">
            <w:pPr>
              <w:spacing w:after="160" w:line="240" w:lineRule="auto"/>
              <w:jc w:val="center"/>
            </w:pPr>
            <w:r>
              <w:drawing>
                <wp:inline distT="0" distB="0" distL="114300" distR="114300">
                  <wp:extent cx="5486400" cy="3858260"/>
                  <wp:effectExtent l="0" t="0" r="0" b="2540"/>
                  <wp:docPr id="7" name="Picture 7" descr="固定 seed=101 的五组生成原文摘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固定 seed=101 的五组生成原文摘录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85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26EA4">
      <w:pPr>
        <w:spacing w:before="0" w:after="0"/>
      </w:pPr>
    </w:p>
    <w:p w14:paraId="7AA0A0D0">
      <w:pPr>
        <w:keepNext w:val="0"/>
        <w:spacing w:before="80" w:after="160"/>
        <w:jc w:val="center"/>
      </w:pPr>
      <w:r>
        <w:rPr>
          <w:rFonts w:ascii="Arial" w:hAnsi="Arial" w:eastAsia="黑体"/>
          <w:b/>
          <w:sz w:val="21"/>
        </w:rPr>
        <w:t>图 7  采样生成对比</w:t>
      </w:r>
    </w:p>
    <w:p w14:paraId="504DAAB1">
      <w:pPr>
        <w:keepLines/>
        <w:spacing w:before="0" w:after="120" w:line="276" w:lineRule="auto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每组固定提示词「春」、生成 200 个新字符，使用 seed=101/102/103。图 7 和表 5 直接摘录保存原文，没有改写。完整 15 段见 results/sampling/generated_all.txt。为比较多样性，统计 3-gram 重复率=1−不同连续三字符数量/三字符总数；原文匹配率是生成的连续 10 字片段在训练语料中出现的比例。两者只描述文本重复与复现，不评价文学质量。</w:t>
      </w:r>
    </w:p>
    <w:p w14:paraId="55C6F266">
      <w:pPr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本次 temperature=1.0、top-k=20 在三段样本中均保持完整原文续写，可作为展示模型已学到诗句结构的默认组合；0.5/20 同样工整，但没有体现原创。1.5/20 的连续 10 字原文匹配比例降至 64.6%，seed=101 出现“玉门盘”等错误，变化增多伴随连贯性下降；其三字符重复率反而更高，说明高温并不必然降低局部重复。top-k 从 20 改到不限的三段输出完全相同，不能声称本次不限候选一定带来变化。这一选择基于小样本的连贯性观察，并非全局最优参数。</w:t>
      </w:r>
    </w:p>
    <w:p w14:paraId="7C14C3CC">
      <w:pPr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在小语料上，低温或小 top-k 会更集中地选择训练中高概率的续文；高温或不限制候选增加变化，也可能引入不连贯字符。即使某组生成看起来工整，也可能只是沿着训练语料的拼接顺序继续背诵。</w:t>
      </w:r>
    </w:p>
    <w:p w14:paraId="2B4F647C">
      <w:pPr>
        <w:keepNext/>
        <w:pageBreakBefore/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6  AI 协作记录</w:t>
      </w:r>
    </w:p>
    <w:p w14:paraId="70BFE91F">
      <w:pPr>
        <w:keepNext/>
        <w:spacing w:before="120" w:after="120" w:line="276" w:lineRule="auto"/>
        <w:jc w:val="left"/>
      </w:pPr>
      <w:r>
        <w:rPr>
          <w:rFonts w:ascii="Arial" w:hAnsi="Arial" w:eastAsia="黑体"/>
          <w:b w:val="0"/>
          <w:sz w:val="22"/>
        </w:rPr>
        <w:t>我以实验指南为依据提出任务要求，指定使用 uv 创建虚拟环境，并委托 Codex 辅助实现代码、执行训练与采样、整理结果和报告。具体程序操作由 Codex 在本机执行。下表按实验环节概述需求与辅助内容，需求栏为归纳表述。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296"/>
        <w:gridCol w:w="3456"/>
        <w:gridCol w:w="3960"/>
      </w:tblGrid>
      <w:tr w14:paraId="7F795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76" w:type="dxa"/>
          </w:tcPr>
          <w:p w14:paraId="689F68AC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序号</w:t>
            </w:r>
          </w:p>
        </w:tc>
        <w:tc>
          <w:tcPr>
            <w:tcW w:w="1296" w:type="dxa"/>
          </w:tcPr>
          <w:p w14:paraId="5CC05BC2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实验环节</w:t>
            </w:r>
          </w:p>
        </w:tc>
        <w:tc>
          <w:tcPr>
            <w:tcW w:w="3456" w:type="dxa"/>
          </w:tcPr>
          <w:p w14:paraId="65F94274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实验需求（概述）</w:t>
            </w:r>
          </w:p>
        </w:tc>
        <w:tc>
          <w:tcPr>
            <w:tcW w:w="3960" w:type="dxa"/>
          </w:tcPr>
          <w:p w14:paraId="3F79311A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AI 辅助内容与结果</w:t>
            </w:r>
          </w:p>
        </w:tc>
      </w:tr>
      <w:tr w14:paraId="5FF48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</w:tcPr>
          <w:p w14:paraId="788A672E">
            <w:pPr>
              <w:spacing w:before="40" w:after="40" w:line="252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19"/>
                <w:lang w:val="en-US" w:eastAsia="zh-CN"/>
              </w:rPr>
              <w:t>1</w:t>
            </w:r>
          </w:p>
        </w:tc>
        <w:tc>
          <w:tcPr>
            <w:tcW w:w="1296" w:type="dxa"/>
          </w:tcPr>
          <w:p w14:paraId="1DA7EE0D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模型实现与检查</w:t>
            </w:r>
          </w:p>
        </w:tc>
        <w:tc>
          <w:tcPr>
            <w:tcW w:w="3456" w:type="dxa"/>
          </w:tcPr>
          <w:p w14:paraId="30D13345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我委托 AI 辅助完成模型代码及必要自检，使实验可以实际运行。</w:t>
            </w:r>
          </w:p>
        </w:tc>
        <w:tc>
          <w:tcPr>
            <w:tcW w:w="3960" w:type="dxa"/>
          </w:tcPr>
          <w:p w14:paraId="373C9037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实现因果多头注意力与权重共享；验证 502,656 参数、标签错位、因果遮罩及反向传播。</w:t>
            </w:r>
          </w:p>
        </w:tc>
      </w:tr>
      <w:tr w14:paraId="299DE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</w:tcPr>
          <w:p w14:paraId="472E6C03">
            <w:pPr>
              <w:spacing w:before="40" w:after="40" w:line="252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19"/>
                <w:lang w:val="en-US" w:eastAsia="zh-CN"/>
              </w:rPr>
              <w:t>2</w:t>
            </w:r>
          </w:p>
        </w:tc>
        <w:tc>
          <w:tcPr>
            <w:tcW w:w="1296" w:type="dxa"/>
          </w:tcPr>
          <w:p w14:paraId="20B1011C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训练与对照</w:t>
            </w:r>
          </w:p>
        </w:tc>
        <w:tc>
          <w:tcPr>
            <w:tcW w:w="3456" w:type="dxa"/>
          </w:tcPr>
          <w:p w14:paraId="233D8798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我要求完成指南规定的基线、超参数对照、采样实验及结果保存。</w:t>
            </w:r>
          </w:p>
        </w:tc>
        <w:tc>
          <w:tcPr>
            <w:tcW w:w="3960" w:type="dxa"/>
          </w:tcPr>
          <w:p w14:paraId="567A6C82"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执行九次训练和五组采样，补充重复惩罚对比；分别保存模型、loss 曲线、耗时和生成原文。</w:t>
            </w:r>
          </w:p>
        </w:tc>
      </w:tr>
    </w:tbl>
    <w:p w14:paraId="1C40000B">
      <w:pPr>
        <w:keepNext/>
        <w:pageBreakBefore/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7  思考题作答</w:t>
      </w:r>
    </w:p>
    <w:p w14:paraId="2D3122A4">
      <w:pPr>
        <w:keepNext/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(1) 结合 exp5：去掉位置编码后，模型还能学到什么？生成的“诗”还成句吗？为什么？</w:t>
      </w:r>
    </w:p>
    <w:p w14:paraId="649C2B3A">
      <w:pPr>
        <w:keepNext/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exp5 的 loss 从 6.5950 降到 0.0342，说明没有显式位置向量也能学习字符共现、标点及前缀与下一字符的关系。没有显式位置向量时仍能生成多段可辨原诗，但出现“晴空一排云上”的漏字以及重复的“小时不识月”片段。 普通无位置、无掩码自注意力具有排列等变性：重排输入会对应重排输出，并非整个输出总是“排列不变”。</w:t>
      </w:r>
    </w:p>
    <w:p w14:paraId="1AC587C6">
      <w:pPr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本实验的因果注意力不同：各位置能看到的前缀长度与内容不同，因果掩码破坏了任意排列对称性；多层网络可由此学习部分隐含位置信息。因此不能推导出去掉位置向量就一定变成完全无序的词袋。</w:t>
      </w:r>
    </w:p>
    <w:p w14:paraId="0F349C22">
      <w:pPr>
        <w:keepNext/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(2) 手算：若 n_embd 从 128 增至 256、层数从 2 增至 3（V、T 不变），总参数量约为多少？相比基线增长几倍？结合 exp2 / exp3 的实测时间，说明容量与训练成本的权衡。</w:t>
      </w:r>
    </w:p>
    <w:p w14:paraId="2813FA09">
      <w:pPr>
        <w:keepNext/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C=256、L=3、V=699、T=128：VC=178,944；TC=32,768；L×12C²=2,359,296，近似合计 2,571,008，为基线近似 499,072 的 5.15 倍。加上 3×13×256+2×256=10,496，精确值为 2,581,504，是精确基线的 5.14 倍。此配置仅手算，未冒充训练过。</w:t>
      </w:r>
    </w:p>
    <w:p w14:paraId="1BC03018">
      <w:pPr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实测 4 层/1 层耗时比为 3.46，256 维/64 维为 6.52。主矩阵参数量按 LC² 增长，注意力分数计算还按 T² 增长；更大容量提高计算和存储开销，在 2163 字语料上仍主要用于记忆，收益需结合实际生成与独立测试评估。</w:t>
      </w:r>
    </w:p>
    <w:p w14:paraId="46FB23C2">
      <w:pPr>
        <w:keepNext/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(3) 温度 T→0 与 T→∞ 时，softmax 采样分别退化成什么？什么任务适合低温、什么场景适合高温？结合 exp6 的生成结果说明。</w:t>
      </w:r>
    </w:p>
    <w:p w14:paraId="19006975">
      <w:pPr>
        <w:keepNext/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令温度为 τ，pᵢ=exp(zᵢ/τ)/Σⱼexp(zⱼ/τ)。τ→0⁺ 时概率集中在最大 logit；最大值唯一时退化成贪心选择，若并列则在并列最大项间均分。τ→∞ 时有限 logits 趋于相等，不设 top-k 时趋于在全部词表上均匀采样；若先限制 top-k，则只在保留下来的候选上趋于均匀。低温适合强调稳定续写的任务，高温适合探索多个候选；低温不能保证事实正确。</w:t>
      </w:r>
    </w:p>
    <w:p w14:paraId="2FF1C082">
      <w:pPr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本次 exp6 低温重复率 0.5%，高温 1.3%；原文匹配率分别为 100.0%、64.6%。这些观察来自每组 3 段固定长度文本，只能说明本模型当前采样行为，不能概括所有语言模型。</w:t>
      </w:r>
    </w:p>
    <w:p w14:paraId="60F65250">
      <w:pPr>
        <w:keepNext/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(4) 字符级分词的优缺点各是什么？BPE 如何在“词表大小”与“序列长度”之间折中？为什么真实 LLM 都用 BPE 类分词器？</w:t>
      </w:r>
    </w:p>
    <w:p w14:paraId="502C3ABE">
      <w:pPr>
        <w:keepNext/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字符级分词实现简单、词表较小，便于直接观察下一字符预测；本实验词表含汉字、标点和换行。局限是每个 token 含信息较少，同一段文本通常需要更长序列，有限上下文覆盖的语义范围小。本实现词表来自固定语料，不自动覆盖新字符；未知字符明确报错。</w:t>
      </w:r>
    </w:p>
    <w:p w14:paraId="53D0E0CB">
      <w:pPr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BPE 从较小单元出发，反复合并频繁相邻组合，使常见片段成为一个 token，稀有词仍可拆成更小单元；更多合并通常增大词表、缩短序列，从而在嵌入/输出开销与序列计算量间折中。 真实语言模型广泛采用子词或字节级方案，但并非所有模型都严格使用 BPE，也存在 Unigram 等分词方法。</w:t>
      </w:r>
    </w:p>
    <w:p w14:paraId="6BBD0FC6">
      <w:pPr>
        <w:keepNext/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(5) 本实验是“从零、在数千字语料上训练”；真实 LLM 是“预训练（海量语料）+ 指令微调 + RLHF”。请从数据量、参数量、训练目标三方面比较两者，并回答：把本实验语料扩大 1000 倍，能得到一个“会聊天”的模型吗？为什么？</w:t>
      </w:r>
    </w:p>
    <w:p w14:paraId="4BC14B9A">
      <w:pPr>
        <w:keepNext/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数据方面，本实验只有 2163 字诗文，真实通用语言模型预训练使用规模更大、领域更广的数据；参数方面，本模型 502,656 个，通用模型常有数十亿以上参数。目标方面，本实验只做下一字符交叉熵，指令微调用示范问答教模型遵循要求，RLHF 再用人类偏好信号调整行为；这些阶段服务于不同能力。</w:t>
      </w:r>
    </w:p>
    <w:p w14:paraId="4072405D">
      <w:pPr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把语料增加 1000 倍约为 216.3 万字符，仍不能据此断言获得聊天模型。若只重复原语料，不增加知识和任务覆盖；即使加入新文本，也需要适当容量、训练预算、对话或指令数据及评价。下一 token 预训练能形成续写能力，但遵循用户意图不能仅靠数据数量增长保证。</w:t>
      </w:r>
    </w:p>
    <w:p w14:paraId="0B6CB3B4">
      <w:pPr>
        <w:keepNext/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 xml:space="preserve">(6) </w:t>
      </w:r>
      <w:r>
        <w:rPr>
          <w:rFonts w:hint="eastAsia" w:ascii="Times New Roman" w:hAnsi="Times New Roman" w:eastAsia="宋体"/>
          <w:b w:val="0"/>
          <w:sz w:val="24"/>
        </w:rPr>
        <w:t>回顾你与 TRAE 协作实现 CausalSelfAttention 的过程：AI 在哪些环节最有价值？哪些地方必须自己读懂公式才能改对（如因果掩码的 -inf 填充、多头 reshape 的顺序、权重共享的实现）？</w:t>
      </w:r>
      <w:bookmarkStart w:id="0" w:name="_GoBack"/>
      <w:bookmarkEnd w:id="0"/>
    </w:p>
    <w:p w14:paraId="7A422D1C">
      <w:pPr>
        <w:spacing w:before="0"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Q/K/V 从 (B,T,C) 拆为 (B,H,T,C/H)，不能把头维和序列维颠倒；QKᵀ/√d 的缩放抑制分数过大；未来位置填 -∞ 后 softmax 概率为 0，填 0 并不能屏蔽；输出先 transpose 回来再拼接多头。权重共享必须让 head.weight 与 tok_emb.weight 指向同一参数，而非仅复制数值。本次自检覆盖因果性、参数计数、标签错位、梯度与生成。</w:t>
      </w:r>
    </w:p>
    <w:sectPr>
      <w:pgSz w:w="12240" w:h="15840"/>
      <w:pgMar w:top="1587" w:right="1474" w:bottom="141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3A0724"/>
    <w:rsid w:val="1B1E6DD8"/>
    <w:rsid w:val="235D6544"/>
    <w:rsid w:val="24687316"/>
    <w:rsid w:val="275B4FA8"/>
    <w:rsid w:val="438B697C"/>
    <w:rsid w:val="5986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6444</Words>
  <Characters>8110</Characters>
  <Lines>0</Lines>
  <Paragraphs>0</Paragraphs>
  <TotalTime>0</TotalTime>
  <ScaleCrop>false</ScaleCrop>
  <LinksUpToDate>false</LinksUpToDate>
  <CharactersWithSpaces>8670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吴德隽</cp:lastModifiedBy>
  <dcterms:modified xsi:type="dcterms:W3CDTF">2026-10-06T13:01:00Z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eyJoZGlkIjoiYmU1NTZiZDU1M2JhNzZmOTcxZmQ3NjRjNGNmMjVjY2EiLCJ1c2VySWQiOiI1MDIyMTg3MTgifQ==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CE22940DF30546609124B1C96D3D07D5_12</vt:lpwstr>
  </property>
</Properties>
</file>