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list-style-type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значення: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 Значення за замовчуванням. В якості маркера елементів списку виступає зафарбований кружок.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armenian Традиційна вірменська нумерація.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circle В якості маркера виступає зафарбований кружок.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cjk-ideographic Ідеографічні нумерація.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decimal 1, 2, 3, 4, 5, 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decimal-leading-zero 01, 02, 03, 04, 05, 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georgian Традиційна грузинська нумерація.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hebrew Традиційна єврейська нумерація.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hiragana Японська нумерація: a, i, u, e, o, ...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hiragana-iroha Японська нумерація: i, ro, ha, ni, ho, 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katakana Японська нумерація: A, I, U, E, O, ...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katakana-iroha Японська нумерація: I, RO, HA, NI, HO, ...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lower-alpha a, b, c, d, e, 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lower-greek Малі символи грецького алфавіту.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lower-latin a, b, c, d, e, ...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lower-roman i, ii, iii, iv, v, 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none Маркер відсутня.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square В якості маркера виступає зафарбований або зафарбований квадрат.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upper-alpha A, B, C, D, E, ...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upper-latin A, B, C, D, E, 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upper-roman I, II, III, IV, V, 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initial Встановлює значення властивості в значення за замовчуванням.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inherit Успадковує значення властивості від батьківського елемента.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