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200" w:before="60" w:line="300"/>
        <w:jc w:val="center"/>
      </w:pPr>
      <w:r>
        <w:rPr>
          <w:rFonts w:ascii="맑은 고딕" w:cs="맑은 고딕" w:eastAsia="맑은 고딕" w:hAnsi="맑은 고딕"/>
          <w:b/>
          <w:bCs/>
          <w:color w:val="555555"/>
          <w:sz w:val="22"/>
          <w:szCs w:val="22"/>
        </w:rPr>
        <w:t xml:space="preserve">데이터 분석 보고서</w:t>
      </w:r>
    </w:p>
    <w:p>
      <w:pPr>
        <w:spacing w:after="40" w:before="60" w:line="420"/>
        <w:jc w:val="center"/>
      </w:pPr>
      <w:r>
        <w:rPr>
          <w:rFonts w:ascii="맑은 고딕" w:cs="맑은 고딕" w:eastAsia="맑은 고딕" w:hAnsi="맑은 고딕"/>
          <w:b/>
          <w:bCs/>
          <w:color w:val="000000"/>
          <w:sz w:val="40"/>
          <w:szCs w:val="40"/>
        </w:rPr>
        <w:t xml:space="preserve">전기차 에너지 소비율 예측 모델 개발 및</w:t>
      </w:r>
    </w:p>
    <w:p>
      <w:pPr>
        <w:spacing w:after="260" w:before="60" w:line="420"/>
        <w:jc w:val="center"/>
      </w:pPr>
      <w:r>
        <w:rPr>
          <w:rFonts w:ascii="맑은 고딕" w:cs="맑은 고딕" w:eastAsia="맑은 고딕" w:hAnsi="맑은 고딕"/>
          <w:b/>
          <w:bCs/>
          <w:color w:val="000000"/>
          <w:sz w:val="40"/>
          <w:szCs w:val="40"/>
        </w:rPr>
        <w:t xml:space="preserve">OEM 내비게이션 경로 에너지 비용 산출</w:t>
      </w:r>
    </w:p>
    <w:p>
      <w:pPr>
        <w:spacing w:after="700" w:before="60" w:line="300"/>
        <w:jc w:val="center"/>
      </w:pPr>
      <w:r>
        <w:rPr>
          <w:rFonts w:ascii="맑은 고딕" w:cs="맑은 고딕" w:eastAsia="맑은 고딕" w:hAnsi="맑은 고딕"/>
          <w:color w:val="000000"/>
          <w:sz w:val="21"/>
          <w:szCs w:val="21"/>
        </w:rPr>
        <w:t xml:space="preserve">주행·환경 조건 기반 100km당 에너지 소비율 회귀 예측과 경로 후보 비교</w:t>
      </w:r>
    </w:p>
    <w:tbl>
      <w:tblPr>
        <w:tblW w:type="dxa" w:w="9360"/>
        <w:tblBorders>
          <w:top w:val="single" w:color="808080" w:sz="4"/>
          <w:left w:val="single" w:color="808080" w:sz="4"/>
          <w:bottom w:val="single" w:color="808080" w:sz="4"/>
          <w:right w:val="single" w:color="808080" w:sz="4"/>
          <w:insideH w:val="single" w:color="B0B0B0" w:sz="2"/>
          <w:insideV w:val="single" w:color="B0B0B0" w:sz="2"/>
        </w:tblBorders>
      </w:tblPr>
      <w:tblGrid>
        <w:gridCol w:w="2400"/>
        <w:gridCol w:w="6960"/>
      </w:tblGrid>
      <w:tr>
        <w:trPr>
          <w:tblHeader/>
        </w:trPr>
        <w:tc>
          <w:tcPr>
            <w:tcW w:type="dxa" w:w="24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구분</w:t>
            </w:r>
          </w:p>
        </w:tc>
        <w:tc>
          <w:tcPr>
            <w:tcW w:type="dxa" w:w="696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내용</w:t>
            </w:r>
          </w:p>
        </w:tc>
      </w:tr>
      <w:tr>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분석 주제</w:t>
            </w:r>
          </w:p>
        </w:tc>
        <w:tc>
          <w:tcPr>
            <w:tcW w:type="dxa" w:w="69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주행·환경 조건에 따른 전기차 100km당 에너지 소비율 예측</w:t>
            </w:r>
          </w:p>
        </w:tc>
      </w:tr>
      <w:tr>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예측 대상(목표변수)</w:t>
            </w:r>
          </w:p>
        </w:tc>
        <w:tc>
          <w:tcPr>
            <w:tcW w:type="dxa" w:w="69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energy_consumption_kwhper100km (연속형, kWh/100km)</w:t>
            </w:r>
          </w:p>
        </w:tc>
      </w:tr>
      <w:tr>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분석 유형</w:t>
            </w:r>
          </w:p>
        </w:tc>
        <w:tc>
          <w:tcPr>
            <w:tcW w:type="dxa" w:w="69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지도학습 기반 회귀 분석 및 모델 비교</w:t>
            </w:r>
          </w:p>
        </w:tc>
      </w:tr>
      <w:tr>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활용 대상</w:t>
            </w:r>
          </w:p>
        </w:tc>
        <w:tc>
          <w:tcPr>
            <w:tcW w:type="dxa" w:w="69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차량 제조사(OEM) 탑재형 내비게이션, 최종 사용자는 전기차 운전자</w:t>
            </w:r>
          </w:p>
        </w:tc>
      </w:tr>
      <w:tr>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사용 데이터</w:t>
            </w:r>
          </w:p>
        </w:tc>
        <w:tc>
          <w:tcPr>
            <w:tcW w:type="dxa" w:w="69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datas_ml/ev_energy_consumption.csv (8,000행 × 10열)</w:t>
            </w:r>
          </w:p>
        </w:tc>
      </w:tr>
      <w:tr>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최종 선정 모델</w:t>
            </w:r>
          </w:p>
        </w:tc>
        <w:tc>
          <w:tcPr>
            <w:tcW w:type="dxa" w:w="69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개선 선형회귀 (저온·고온 파생변수 포함) — 테스트 R² 0.9513</w:t>
            </w:r>
          </w:p>
        </w:tc>
      </w:tr>
      <w:tr>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작성일</w:t>
            </w:r>
          </w:p>
        </w:tc>
        <w:tc>
          <w:tcPr>
            <w:tcW w:type="dxa" w:w="69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2026년 8월 28일</w:t>
            </w:r>
          </w:p>
        </w:tc>
      </w:tr>
    </w:tbl>
    <w:p>
      <w:r>
        <w:br w:type="page"/>
      </w:r>
    </w:p>
    <w:p>
      <w:pPr>
        <w:pStyle w:val="Heading1"/>
        <w:spacing w:after="140" w:before="320"/>
      </w:pPr>
      <w:r>
        <w:rPr>
          <w:rFonts w:ascii="맑은 고딕" w:cs="맑은 고딕" w:eastAsia="맑은 고딕" w:hAnsi="맑은 고딕"/>
          <w:b/>
          <w:bCs/>
          <w:color w:val="000000"/>
          <w:sz w:val="28"/>
          <w:szCs w:val="28"/>
        </w:rPr>
        <w:t xml:space="preserve">요약</w:t>
      </w:r>
    </w:p>
    <w:p>
      <w:pPr>
        <w:spacing w:after="100" w:before="60" w:line="300"/>
        <w:jc w:val="left"/>
      </w:pPr>
      <w:r>
        <w:rPr>
          <w:rFonts w:ascii="맑은 고딕" w:cs="맑은 고딕" w:eastAsia="맑은 고딕" w:hAnsi="맑은 고딕"/>
          <w:color w:val="000000"/>
          <w:sz w:val="20"/>
          <w:szCs w:val="20"/>
        </w:rPr>
        <w:t xml:space="preserve">전기차의 에너지 소비율은 주행거리만으로 결정되지 않으며, 본 데이터에서도 </w:t>
      </w:r>
      <w:r>
        <w:rPr>
          <w:rFonts w:ascii="맑은 고딕" w:cs="맑은 고딕" w:eastAsia="맑은 고딕" w:hAnsi="맑은 고딕"/>
          <w:b/>
          <w:bCs/>
          <w:color w:val="000000"/>
          <w:sz w:val="20"/>
          <w:szCs w:val="20"/>
        </w:rPr>
        <w:t xml:space="preserve">11.62~35.00 kWh/100km</w:t>
      </w:r>
      <w:r>
        <w:rPr>
          <w:rFonts w:ascii="맑은 고딕" w:cs="맑은 고딕" w:eastAsia="맑은 고딕" w:hAnsi="맑은 고딕"/>
          <w:color w:val="000000"/>
          <w:sz w:val="20"/>
          <w:szCs w:val="20"/>
        </w:rPr>
        <w:t xml:space="preserve">로 약 3배까지 벌어진다. 고정 평균 소비율 하나로 경로 에너지를 계산하면 도착 예상 잔량과 충전 계획에 그대로 오차가 전가된다. 본 분석은 주행·환경 조건 9개 변수로 100km당 에너지 소비율을 예측하고, 그 예측값을 경로 후보 비교의 에너지 비용으로 연결하는 것을 목적으로 한다.</w:t>
      </w:r>
    </w:p>
    <w:p>
      <w:pPr>
        <w:spacing w:after="100" w:before="60" w:line="300"/>
        <w:jc w:val="left"/>
      </w:pPr>
      <w:r>
        <w:rPr>
          <w:rFonts w:ascii="맑은 고딕" w:cs="맑은 고딕" w:eastAsia="맑은 고딕" w:hAnsi="맑은 고딕"/>
          <w:color w:val="000000"/>
          <w:sz w:val="20"/>
          <w:szCs w:val="20"/>
        </w:rPr>
        <w:t xml:space="preserve">선형회귀를 기준 모델로 두고 의사결정트리와 비교한 결과, 기준 선형회귀(테스트 RMSE 1.0093)가 기본 트리(1.9710) 및 튜닝 트리(1.8064)보다 우수했다. 그러나 잔차를 외기온 기준으로 확인한 결과 </w:t>
      </w:r>
      <w:r>
        <w:rPr>
          <w:rFonts w:ascii="맑은 고딕" w:cs="맑은 고딕" w:eastAsia="맑은 고딕" w:hAnsi="맑은 고딕"/>
          <w:b/>
          <w:bCs/>
          <w:color w:val="000000"/>
          <w:sz w:val="20"/>
          <w:szCs w:val="20"/>
        </w:rPr>
        <w:t xml:space="preserve">저온·고온 구간에서 예측이 체계적으로 낮게 나오는 U자형 편향</w:t>
      </w:r>
      <w:r>
        <w:rPr>
          <w:rFonts w:ascii="맑은 고딕" w:cs="맑은 고딕" w:eastAsia="맑은 고딕" w:hAnsi="맑은 고딕"/>
          <w:color w:val="000000"/>
          <w:sz w:val="20"/>
          <w:szCs w:val="20"/>
        </w:rPr>
        <w:t xml:space="preserve">이 남아 있었다. 이는 성능 지표가 아니라 모델 구조의 문제이므로, 학습 데이터 내부 검증만으로 저온 10°C·고온 30°C 기준을 선택해 두 개의 파생변수를 추가했다.</w:t>
      </w:r>
    </w:p>
    <w:p>
      <w:pPr>
        <w:spacing w:after="100" w:before="60" w:line="300"/>
        <w:jc w:val="left"/>
      </w:pPr>
      <w:r>
        <w:rPr>
          <w:rFonts w:ascii="맑은 고딕" w:cs="맑은 고딕" w:eastAsia="맑은 고딕" w:hAnsi="맑은 고딕"/>
          <w:color w:val="000000"/>
          <w:sz w:val="20"/>
          <w:szCs w:val="20"/>
        </w:rPr>
        <w:t xml:space="preserve">개선 선형회귀는 테스트 MAE 0.6466, RMSE 0.8112, R² 0.9513으로 기준 선형회귀 대비 </w:t>
      </w:r>
      <w:r>
        <w:rPr>
          <w:rFonts w:ascii="맑은 고딕" w:cs="맑은 고딕" w:eastAsia="맑은 고딕" w:hAnsi="맑은 고딕"/>
          <w:b/>
          <w:bCs/>
          <w:color w:val="000000"/>
          <w:sz w:val="20"/>
          <w:szCs w:val="20"/>
        </w:rPr>
        <w:t xml:space="preserve">RMSE 19.62% 감소</w:t>
      </w:r>
      <w:r>
        <w:rPr>
          <w:rFonts w:ascii="맑은 고딕" w:cs="맑은 고딕" w:eastAsia="맑은 고딕" w:hAnsi="맑은 고딕"/>
          <w:color w:val="000000"/>
          <w:sz w:val="20"/>
          <w:szCs w:val="20"/>
        </w:rPr>
        <w:t xml:space="preserve">했고, 온도 구간별 평균 잔차의 편향도 거의 소멸했다. 학습·테스트 성능 차이가 R² 기준 0.0023에 불과해 과적합 징후도 없다. 계산 구조가 단순하고 각 변수의 영향 방향을 설명할 수 있어 임베디드 탑재 관점에서도 유리하다.</w:t>
      </w:r>
    </w:p>
    <w:p>
      <w:pPr>
        <w:spacing w:after="100" w:before="60" w:line="300"/>
        <w:jc w:val="left"/>
      </w:pPr>
      <w:r>
        <w:rPr>
          <w:rFonts w:ascii="맑은 고딕" w:cs="맑은 고딕" w:eastAsia="맑은 고딕" w:hAnsi="맑은 고딕"/>
          <w:color w:val="000000"/>
          <w:sz w:val="20"/>
          <w:szCs w:val="20"/>
        </w:rPr>
        <w:t xml:space="preserve">이 모델을 3개 후보 경로 시뮬레이션에 적용한 결과, 최단거리 경로(A)도 최단시간 경로(B)도 최소 에너지 경로가 아니었고, </w:t>
      </w:r>
      <w:r>
        <w:rPr>
          <w:rFonts w:ascii="맑은 고딕" w:cs="맑은 고딕" w:eastAsia="맑은 고딕" w:hAnsi="맑은 고딕"/>
          <w:b/>
          <w:bCs/>
          <w:color w:val="000000"/>
          <w:sz w:val="20"/>
          <w:szCs w:val="20"/>
        </w:rPr>
        <w:t xml:space="preserve">경로 C가 소비전력량 39.29kWh·도착 SOC 14.52%로 추천</w:t>
      </w:r>
      <w:r>
        <w:rPr>
          <w:rFonts w:ascii="맑은 고딕" w:cs="맑은 고딕" w:eastAsia="맑은 고딕" w:hAnsi="맑은 고딕"/>
          <w:color w:val="000000"/>
          <w:sz w:val="20"/>
          <w:szCs w:val="20"/>
        </w:rPr>
        <w:t xml:space="preserve">되었다. 최단시간 경로 B는 도착 SOC 2.51%로 안전 기준 10%에 미달해 후보에서 제외되었다. 즉 최단거리·최단시간과 별도로 에너지 관점의 경로 정보를 제공할 실익이 데이터로 확인되었다.</w:t>
      </w:r>
    </w:p>
    <w:p>
      <w:pPr>
        <w:pStyle w:val="Heading1"/>
        <w:spacing w:after="140" w:before="320"/>
      </w:pPr>
      <w:r>
        <w:rPr>
          <w:rFonts w:ascii="맑은 고딕" w:cs="맑은 고딕" w:eastAsia="맑은 고딕" w:hAnsi="맑은 고딕"/>
          <w:b/>
          <w:bCs/>
          <w:color w:val="000000"/>
          <w:sz w:val="28"/>
          <w:szCs w:val="28"/>
        </w:rPr>
        <w:t xml:space="preserve">1. 문제 정의</w:t>
      </w:r>
    </w:p>
    <w:p>
      <w:pPr>
        <w:pStyle w:val="Heading2"/>
        <w:spacing w:after="100" w:before="220"/>
      </w:pPr>
      <w:r>
        <w:rPr>
          <w:rFonts w:ascii="맑은 고딕" w:cs="맑은 고딕" w:eastAsia="맑은 고딕" w:hAnsi="맑은 고딕"/>
          <w:b/>
          <w:bCs/>
          <w:color w:val="000000"/>
          <w:sz w:val="23"/>
          <w:szCs w:val="23"/>
        </w:rPr>
        <w:t xml:space="preserve">1.1 왜 이 분석이 필요한가</w:t>
      </w:r>
    </w:p>
    <w:p>
      <w:pPr>
        <w:spacing w:after="100" w:before="60" w:line="300"/>
        <w:jc w:val="left"/>
      </w:pPr>
      <w:r>
        <w:rPr>
          <w:rFonts w:ascii="맑은 고딕" w:cs="맑은 고딕" w:eastAsia="맑은 고딕" w:hAnsi="맑은 고딕"/>
          <w:color w:val="000000"/>
          <w:sz w:val="20"/>
          <w:szCs w:val="20"/>
        </w:rPr>
        <w:t xml:space="preserve">같은 거리를 주행하더라도 도로 경사, 속도, 적재량, 외기온도, 공조 부하, 운전 특성에 따라 실제 배터리 소모량은 크게 달라진다. 고정 평균 소비율만으로 경로 에너지를 계산하면 이러한 차이를 반영할 수 없고, 그 오차는 도착 예상 SOC, 목적지 도착 가능 여부, 충전 시점 판단의 오차로 이어진다.</w:t>
      </w:r>
    </w:p>
    <w:p>
      <w:pPr>
        <w:spacing w:after="100" w:before="60" w:line="300"/>
        <w:jc w:val="left"/>
      </w:pPr>
      <w:r>
        <w:rPr>
          <w:rFonts w:ascii="맑은 고딕" w:cs="맑은 고딕" w:eastAsia="맑은 고딕" w:hAnsi="맑은 고딕"/>
          <w:color w:val="000000"/>
          <w:sz w:val="20"/>
          <w:szCs w:val="20"/>
        </w:rPr>
        <w:t xml:space="preserve">본 데이터의 소비율 범위 11.62~35.00 kWh/100km를 60kWh 배터리 전량 사용·동일 소비율 유지라는 단순 가정으로 환산하면 이론적 주행가능거리는 약 171~516km가 된다. 이 수치는 문제의 규모를 설명하기 위한 가정값이며 실제 주행가능거리와 동일하지 않다. 다만 조건에 따른 편차가 무시할 수 없는 크기라는 점은 분명하다.</w:t>
      </w:r>
    </w:p>
    <w:p>
      <w:pPr>
        <w:pStyle w:val="Heading2"/>
        <w:spacing w:after="100" w:before="220"/>
      </w:pPr>
      <w:r>
        <w:rPr>
          <w:rFonts w:ascii="맑은 고딕" w:cs="맑은 고딕" w:eastAsia="맑은 고딕" w:hAnsi="맑은 고딕"/>
          <w:b/>
          <w:bCs/>
          <w:color w:val="000000"/>
          <w:sz w:val="23"/>
          <w:szCs w:val="23"/>
        </w:rPr>
        <w:t xml:space="preserve">1.2 문제 정의 4문답</w:t>
      </w:r>
    </w:p>
    <w:tbl>
      <w:tblPr>
        <w:tblW w:type="dxa" w:w="9360"/>
        <w:tblBorders>
          <w:top w:val="single" w:color="808080" w:sz="4"/>
          <w:left w:val="single" w:color="808080" w:sz="4"/>
          <w:bottom w:val="single" w:color="808080" w:sz="4"/>
          <w:right w:val="single" w:color="808080" w:sz="4"/>
          <w:insideH w:val="single" w:color="B0B0B0" w:sz="2"/>
          <w:insideV w:val="single" w:color="B0B0B0" w:sz="2"/>
        </w:tblBorders>
      </w:tblPr>
      <w:tblGrid>
        <w:gridCol w:w="1700"/>
        <w:gridCol w:w="7660"/>
      </w:tblGrid>
      <w:tr>
        <w:trPr>
          <w:tblHeader/>
        </w:trPr>
        <w:tc>
          <w:tcPr>
            <w:tcW w:type="dxa" w:w="17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질문</w:t>
            </w:r>
          </w:p>
        </w:tc>
        <w:tc>
          <w:tcPr>
            <w:tcW w:type="dxa" w:w="766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답</w:t>
            </w:r>
          </w:p>
        </w:tc>
      </w:tr>
      <w:tr>
        <w:tc>
          <w:tcPr>
            <w:tcW w:type="dxa" w:w="17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왜 필요한가</w:t>
            </w:r>
          </w:p>
        </w:tc>
        <w:tc>
          <w:tcPr>
            <w:tcW w:type="dxa" w:w="76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주행 조건을 반영하지 못한 고정 소비율 안내로 발생하는 주행거리 오차, 충전 계획 실패, 불필요한 충전 대기를 줄이기 위해</w:t>
            </w:r>
          </w:p>
        </w:tc>
      </w:tr>
      <w:tr>
        <w:tc>
          <w:tcPr>
            <w:tcW w:type="dxa" w:w="17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무엇을 예측하나</w:t>
            </w:r>
          </w:p>
        </w:tc>
        <w:tc>
          <w:tcPr>
            <w:tcW w:type="dxa" w:w="76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주행·환경 조건에서의 100km당 에너지 소비율(kWh/100km)</w:t>
            </w:r>
          </w:p>
        </w:tc>
      </w:tr>
      <w:tr>
        <w:tc>
          <w:tcPr>
            <w:tcW w:type="dxa" w:w="17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어디에 쓰나</w:t>
            </w:r>
          </w:p>
        </w:tc>
        <w:tc>
          <w:tcPr>
            <w:tcW w:type="dxa" w:w="76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경로 후보별 예상 소비전력량 산출, 도착 예상 SOC 계산, 에너지 우선 경로 안내</w:t>
            </w:r>
          </w:p>
        </w:tc>
      </w:tr>
      <w:tr>
        <w:tc>
          <w:tcPr>
            <w:tcW w:type="dxa" w:w="17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누가 쓰나</w:t>
            </w:r>
          </w:p>
        </w:tc>
        <w:tc>
          <w:tcPr>
            <w:tcW w:type="dxa" w:w="76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OEM 내비게이션 개발 조직(모델 탑재), 전기차 운전자(경로 선택)</w:t>
            </w:r>
          </w:p>
        </w:tc>
      </w:tr>
    </w:tbl>
    <w:p>
      <w:pPr>
        <w:pBdr>
          <w:top w:val="single" w:color="888888" w:sz="4" w:space="8"/>
          <w:left w:val="single" w:color="888888" w:sz="4" w:space="10"/>
          <w:bottom w:val="single" w:color="888888" w:sz="4" w:space="8"/>
          <w:right w:val="single" w:color="888888" w:sz="4" w:space="10"/>
        </w:pBdr>
        <w:spacing w:after="160" w:before="140" w:line="300"/>
        <w:ind w:left="120" w:right="120"/>
      </w:pPr>
      <w:r>
        <w:rPr>
          <w:rFonts w:ascii="맑은 고딕" w:cs="맑은 고딕" w:eastAsia="맑은 고딕" w:hAnsi="맑은 고딕"/>
          <w:b/>
          <w:bCs/>
          <w:sz w:val="20"/>
          <w:szCs w:val="20"/>
        </w:rPr>
        <w:t xml:space="preserve">분석 목적 : </w:t>
      </w:r>
      <w:r>
        <w:rPr>
          <w:rFonts w:ascii="맑은 고딕" w:cs="맑은 고딕" w:eastAsia="맑은 고딕" w:hAnsi="맑은 고딕"/>
          <w:sz w:val="20"/>
          <w:szCs w:val="20"/>
        </w:rPr>
        <w:t xml:space="preserve">본 분석은 주행·환경 조건을 활용해 전기차의 100km당 에너지 소비율을 예측하고, 그 결과를 경로별 에너지 비용으로 환산하여 내비게이션 경로 선택의 객관성을 높이는 것을 목적으로 한다.</w:t>
      </w:r>
    </w:p>
    <w:p>
      <w:pPr>
        <w:pStyle w:val="Heading2"/>
        <w:spacing w:after="100" w:before="220"/>
      </w:pPr>
      <w:r>
        <w:rPr>
          <w:rFonts w:ascii="맑은 고딕" w:cs="맑은 고딕" w:eastAsia="맑은 고딕" w:hAnsi="맑은 고딕"/>
          <w:b/>
          <w:bCs/>
          <w:color w:val="000000"/>
          <w:sz w:val="23"/>
          <w:szCs w:val="23"/>
        </w:rPr>
        <w:t xml:space="preserve">1.3 업무 문제와 분석 문제의 구분</w:t>
      </w:r>
    </w:p>
    <w:p>
      <w:pPr>
        <w:spacing w:after="100" w:before="60" w:line="300"/>
        <w:jc w:val="left"/>
      </w:pPr>
      <w:r>
        <w:rPr>
          <w:rFonts w:ascii="맑은 고딕" w:cs="맑은 고딕" w:eastAsia="맑은 고딕" w:hAnsi="맑은 고딕"/>
          <w:b/>
          <w:bCs/>
          <w:color w:val="000000"/>
          <w:sz w:val="20"/>
          <w:szCs w:val="20"/>
        </w:rPr>
        <w:t xml:space="preserve">업무 문제 : </w:t>
      </w:r>
      <w:r>
        <w:rPr>
          <w:rFonts w:ascii="맑은 고딕" w:cs="맑은 고딕" w:eastAsia="맑은 고딕" w:hAnsi="맑은 고딕"/>
          <w:color w:val="000000"/>
          <w:sz w:val="20"/>
          <w:szCs w:val="20"/>
        </w:rPr>
        <w:t xml:space="preserve">경로 후보마다 예상 소비 에너지와 도착 잔량이 다르므로, 거리·시간뿐 아니라 에너지 관점의 비교값을 함께 제공해야 한다.</w:t>
      </w:r>
    </w:p>
    <w:p>
      <w:pPr>
        <w:spacing w:after="100" w:before="60" w:line="300"/>
        <w:jc w:val="left"/>
      </w:pPr>
      <w:r>
        <w:rPr>
          <w:rFonts w:ascii="맑은 고딕" w:cs="맑은 고딕" w:eastAsia="맑은 고딕" w:hAnsi="맑은 고딕"/>
          <w:b/>
          <w:bCs/>
          <w:color w:val="000000"/>
          <w:sz w:val="20"/>
          <w:szCs w:val="20"/>
        </w:rPr>
        <w:t xml:space="preserve">분석 문제 : </w:t>
      </w:r>
      <w:r>
        <w:rPr>
          <w:rFonts w:ascii="맑은 고딕" w:cs="맑은 고딕" w:eastAsia="맑은 고딕" w:hAnsi="맑은 고딕"/>
          <w:color w:val="000000"/>
          <w:sz w:val="20"/>
          <w:szCs w:val="20"/>
        </w:rPr>
        <w:t xml:space="preserve">9개의 주행·환경 변수를 입력받아 연속형 목표변수인 100km당 에너지 소비율을 예측하는 지도학습 기반 회귀 문제로 정의한다.</w:t>
      </w:r>
    </w:p>
    <w:p>
      <w:pPr>
        <w:spacing w:after="100" w:before="60" w:line="300"/>
        <w:jc w:val="left"/>
      </w:pPr>
      <w:r>
        <w:rPr>
          <w:rFonts w:ascii="맑은 고딕" w:cs="맑은 고딕" w:eastAsia="맑은 고딕" w:hAnsi="맑은 고딕"/>
          <w:color w:val="000000"/>
          <w:sz w:val="20"/>
          <w:szCs w:val="20"/>
        </w:rPr>
        <w:t xml:space="preserve">목표변수가 0/1 같은 범주가 아니라 연속적인 수치이므로 분류 모델이 아닌 회귀 모델을 사용한다. 도착 가능 여부는 별도의 분류 모델로 푸는 대신, 예측된 소비전력량과 현재 SOC를 이용해 직접 계산하는 편이 정확하고 설명하기도 쉽다.</w:t>
      </w:r>
    </w:p>
    <w:p>
      <w:pPr>
        <w:pStyle w:val="Heading1"/>
        <w:spacing w:after="140" w:before="320"/>
      </w:pPr>
      <w:r>
        <w:rPr>
          <w:rFonts w:ascii="맑은 고딕" w:cs="맑은 고딕" w:eastAsia="맑은 고딕" w:hAnsi="맑은 고딕"/>
          <w:b/>
          <w:bCs/>
          <w:color w:val="000000"/>
          <w:sz w:val="28"/>
          <w:szCs w:val="28"/>
        </w:rPr>
        <w:t xml:space="preserve">2. 데이터 이해</w:t>
      </w:r>
    </w:p>
    <w:p>
      <w:pPr>
        <w:pStyle w:val="Heading2"/>
        <w:spacing w:after="100" w:before="220"/>
      </w:pPr>
      <w:r>
        <w:rPr>
          <w:rFonts w:ascii="맑은 고딕" w:cs="맑은 고딕" w:eastAsia="맑은 고딕" w:hAnsi="맑은 고딕"/>
          <w:b/>
          <w:bCs/>
          <w:color w:val="000000"/>
          <w:sz w:val="23"/>
          <w:szCs w:val="23"/>
        </w:rPr>
        <w:t xml:space="preserve">2.1 데이터 구성</w:t>
      </w:r>
    </w:p>
    <w:p>
      <w:pPr>
        <w:spacing w:after="100" w:before="60" w:line="300"/>
        <w:jc w:val="left"/>
      </w:pPr>
      <w:r>
        <w:rPr>
          <w:rFonts w:ascii="맑은 고딕" w:cs="맑은 고딕" w:eastAsia="맑은 고딕" w:hAnsi="맑은 고딕"/>
          <w:color w:val="000000"/>
          <w:sz w:val="20"/>
          <w:szCs w:val="20"/>
        </w:rPr>
        <w:t xml:space="preserve">데이터는 8,000행 × 10열이며 독립변수 9개와 종속변수 1개로 구성된다. 모든 열이 float64 수치형이고 결측치와 중복행은 각각 0건이다. 따라서 범주형 인코딩이나 결측치 대체 처리가 필요하지 않다.</w:t>
      </w:r>
    </w:p>
    <w:tbl>
      <w:tblPr>
        <w:tblW w:type="dxa" w:w="9360"/>
        <w:tblBorders>
          <w:top w:val="single" w:color="808080" w:sz="4"/>
          <w:left w:val="single" w:color="808080" w:sz="4"/>
          <w:bottom w:val="single" w:color="808080" w:sz="4"/>
          <w:right w:val="single" w:color="808080" w:sz="4"/>
          <w:insideH w:val="single" w:color="B0B0B0" w:sz="2"/>
          <w:insideV w:val="single" w:color="B0B0B0" w:sz="2"/>
        </w:tblBorders>
      </w:tblPr>
      <w:tblGrid>
        <w:gridCol w:w="3200"/>
        <w:gridCol w:w="2400"/>
        <w:gridCol w:w="1400"/>
        <w:gridCol w:w="2360"/>
      </w:tblGrid>
      <w:tr>
        <w:trPr>
          <w:tblHeader/>
        </w:trPr>
        <w:tc>
          <w:tcPr>
            <w:tcW w:type="dxa" w:w="32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변수</w:t>
            </w:r>
          </w:p>
        </w:tc>
        <w:tc>
          <w:tcPr>
            <w:tcW w:type="dxa" w:w="24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의미</w:t>
            </w:r>
          </w:p>
        </w:tc>
        <w:tc>
          <w:tcPr>
            <w:tcW w:type="dxa" w:w="14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역할</w:t>
            </w:r>
          </w:p>
        </w:tc>
        <w:tc>
          <w:tcPr>
            <w:tcW w:type="dxa" w:w="236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관측 범위</w:t>
            </w:r>
          </w:p>
        </w:tc>
      </w:tr>
      <w:tr>
        <w:tc>
          <w:tcPr>
            <w:tcW w:type="dxa" w:w="32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speed_kmh</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주행 속도</w:t>
            </w:r>
          </w:p>
        </w:tc>
        <w:tc>
          <w:tcPr>
            <w:tcW w:type="dxa" w:w="1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독립변수</w:t>
            </w:r>
          </w:p>
        </w:tc>
        <w:tc>
          <w:tcPr>
            <w:tcW w:type="dxa" w:w="23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20.0 ~ 130.0 km/h</w:t>
            </w:r>
          </w:p>
        </w:tc>
      </w:tr>
      <w:tr>
        <w:tc>
          <w:tcPr>
            <w:tcW w:type="dxa" w:w="32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payload_kg</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탑승자·화물 하중</w:t>
            </w:r>
          </w:p>
        </w:tc>
        <w:tc>
          <w:tcPr>
            <w:tcW w:type="dxa" w:w="1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독립변수</w:t>
            </w:r>
          </w:p>
        </w:tc>
        <w:tc>
          <w:tcPr>
            <w:tcW w:type="dxa" w:w="23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0.0 ~ 500.0 kg</w:t>
            </w:r>
          </w:p>
        </w:tc>
      </w:tr>
      <w:tr>
        <w:tc>
          <w:tcPr>
            <w:tcW w:type="dxa" w:w="32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ambient_temp_C</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외부 기온</w:t>
            </w:r>
          </w:p>
        </w:tc>
        <w:tc>
          <w:tcPr>
            <w:tcW w:type="dxa" w:w="1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독립변수</w:t>
            </w:r>
          </w:p>
        </w:tc>
        <w:tc>
          <w:tcPr>
            <w:tcW w:type="dxa" w:w="23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-10.0 ~ 40.0 °C</w:t>
            </w:r>
          </w:p>
        </w:tc>
      </w:tr>
      <w:tr>
        <w:tc>
          <w:tcPr>
            <w:tcW w:type="dxa" w:w="32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hvac_power_kw</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냉난방 사용 전력</w:t>
            </w:r>
          </w:p>
        </w:tc>
        <w:tc>
          <w:tcPr>
            <w:tcW w:type="dxa" w:w="1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독립변수</w:t>
            </w:r>
          </w:p>
        </w:tc>
        <w:tc>
          <w:tcPr>
            <w:tcW w:type="dxa" w:w="23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0.0 ~ 5.0 kW</w:t>
            </w:r>
          </w:p>
        </w:tc>
      </w:tr>
      <w:tr>
        <w:tc>
          <w:tcPr>
            <w:tcW w:type="dxa" w:w="32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road_grade_pct</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도로 경사도</w:t>
            </w:r>
          </w:p>
        </w:tc>
        <w:tc>
          <w:tcPr>
            <w:tcW w:type="dxa" w:w="1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독립변수</w:t>
            </w:r>
          </w:p>
        </w:tc>
        <w:tc>
          <w:tcPr>
            <w:tcW w:type="dxa" w:w="23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-5.0 ~ 8.0 %</w:t>
            </w:r>
          </w:p>
        </w:tc>
      </w:tr>
      <w:tr>
        <w:tc>
          <w:tcPr>
            <w:tcW w:type="dxa" w:w="32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battery_temp_C</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배터리 온도</w:t>
            </w:r>
          </w:p>
        </w:tc>
        <w:tc>
          <w:tcPr>
            <w:tcW w:type="dxa" w:w="1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독립변수</w:t>
            </w:r>
          </w:p>
        </w:tc>
        <w:tc>
          <w:tcPr>
            <w:tcW w:type="dxa" w:w="23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15.0 ~ 45.0 °C</w:t>
            </w:r>
          </w:p>
        </w:tc>
      </w:tr>
      <w:tr>
        <w:tc>
          <w:tcPr>
            <w:tcW w:type="dxa" w:w="32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driving_style_index</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운전 스타일 지수</w:t>
            </w:r>
          </w:p>
        </w:tc>
        <w:tc>
          <w:tcPr>
            <w:tcW w:type="dxa" w:w="1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독립변수</w:t>
            </w:r>
          </w:p>
        </w:tc>
        <w:tc>
          <w:tcPr>
            <w:tcW w:type="dxa" w:w="23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0.0 ~ 1.0</w:t>
            </w:r>
          </w:p>
        </w:tc>
      </w:tr>
      <w:tr>
        <w:tc>
          <w:tcPr>
            <w:tcW w:type="dxa" w:w="32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tire_pressure_bar</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타이어 공기압</w:t>
            </w:r>
          </w:p>
        </w:tc>
        <w:tc>
          <w:tcPr>
            <w:tcW w:type="dxa" w:w="1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독립변수</w:t>
            </w:r>
          </w:p>
        </w:tc>
        <w:tc>
          <w:tcPr>
            <w:tcW w:type="dxa" w:w="23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2.0 ~ 2.8 bar</w:t>
            </w:r>
          </w:p>
        </w:tc>
      </w:tr>
      <w:tr>
        <w:tc>
          <w:tcPr>
            <w:tcW w:type="dxa" w:w="32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trip_distance_km</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주행 거리</w:t>
            </w:r>
          </w:p>
        </w:tc>
        <w:tc>
          <w:tcPr>
            <w:tcW w:type="dxa" w:w="1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독립변수</w:t>
            </w:r>
          </w:p>
        </w:tc>
        <w:tc>
          <w:tcPr>
            <w:tcW w:type="dxa" w:w="23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5.1 ~ 200.0 km</w:t>
            </w:r>
          </w:p>
        </w:tc>
      </w:tr>
      <w:tr>
        <w:tc>
          <w:tcPr>
            <w:tcW w:type="dxa" w:w="3200"/>
            <w:tcMar>
              <w:top w:type="dxa" w:w="70"/>
              <w:left w:type="dxa" w:w="110"/>
              <w:bottom w:type="dxa" w:w="70"/>
              <w:right w:type="dxa" w:w="110"/>
            </w:tcMar>
          </w:tcPr>
          <w:p>
            <w:pPr>
              <w:spacing w:after="0" w:before="0" w:line="260"/>
              <w:jc w:val="left"/>
            </w:pPr>
            <w:r>
              <w:rPr>
                <w:rFonts w:ascii="맑은 고딕" w:cs="맑은 고딕" w:eastAsia="맑은 고딕" w:hAnsi="맑은 고딕"/>
                <w:b/>
                <w:bCs/>
                <w:sz w:val="18"/>
                <w:szCs w:val="18"/>
              </w:rPr>
              <w:t xml:space="preserve">energy_consumption_kwhper100km</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bCs/>
                <w:sz w:val="18"/>
                <w:szCs w:val="18"/>
              </w:rPr>
              <w:t xml:space="preserve">100km당 에너지 소비율</w:t>
            </w:r>
          </w:p>
        </w:tc>
        <w:tc>
          <w:tcPr>
            <w:tcW w:type="dxa" w:w="1400"/>
            <w:tcMar>
              <w:top w:type="dxa" w:w="70"/>
              <w:left w:type="dxa" w:w="110"/>
              <w:bottom w:type="dxa" w:w="70"/>
              <w:right w:type="dxa" w:w="110"/>
            </w:tcMar>
          </w:tcPr>
          <w:p>
            <w:pPr>
              <w:spacing w:after="0" w:before="0" w:line="260"/>
              <w:jc w:val="left"/>
            </w:pPr>
            <w:r>
              <w:rPr>
                <w:rFonts w:ascii="맑은 고딕" w:cs="맑은 고딕" w:eastAsia="맑은 고딕" w:hAnsi="맑은 고딕"/>
                <w:b/>
                <w:bCs/>
                <w:sz w:val="18"/>
                <w:szCs w:val="18"/>
              </w:rPr>
              <w:t xml:space="preserve">종속변수</w:t>
            </w:r>
          </w:p>
        </w:tc>
        <w:tc>
          <w:tcPr>
            <w:tcW w:type="dxa" w:w="2360"/>
            <w:tcMar>
              <w:top w:type="dxa" w:w="70"/>
              <w:left w:type="dxa" w:w="110"/>
              <w:bottom w:type="dxa" w:w="70"/>
              <w:right w:type="dxa" w:w="110"/>
            </w:tcMar>
          </w:tcPr>
          <w:p>
            <w:pPr>
              <w:spacing w:after="0" w:before="0" w:line="260"/>
              <w:jc w:val="left"/>
            </w:pPr>
            <w:r>
              <w:rPr>
                <w:rFonts w:ascii="맑은 고딕" w:cs="맑은 고딕" w:eastAsia="맑은 고딕" w:hAnsi="맑은 고딕"/>
                <w:b/>
                <w:bCs/>
                <w:sz w:val="18"/>
                <w:szCs w:val="18"/>
              </w:rPr>
              <w:t xml:space="preserve">11.62 ~ 35.00 kWh/100km</w:t>
            </w:r>
          </w:p>
        </w:tc>
      </w:tr>
    </w:tbl>
    <w:p>
      <w:pPr>
        <w:pStyle w:val="Heading2"/>
        <w:spacing w:after="100" w:before="220"/>
      </w:pPr>
      <w:r>
        <w:rPr>
          <w:rFonts w:ascii="맑은 고딕" w:cs="맑은 고딕" w:eastAsia="맑은 고딕" w:hAnsi="맑은 고딕"/>
          <w:b/>
          <w:bCs/>
          <w:color w:val="000000"/>
          <w:sz w:val="23"/>
          <w:szCs w:val="23"/>
        </w:rPr>
        <w:t xml:space="preserve">2.2 목표변수의 단위 해석</w:t>
      </w:r>
    </w:p>
    <w:p>
      <w:pPr>
        <w:spacing w:after="100" w:before="60" w:line="300"/>
        <w:jc w:val="left"/>
      </w:pPr>
      <w:r>
        <w:rPr>
          <w:rFonts w:ascii="맑은 고딕" w:cs="맑은 고딕" w:eastAsia="맑은 고딕" w:hAnsi="맑은 고딕"/>
          <w:color w:val="000000"/>
          <w:sz w:val="20"/>
          <w:szCs w:val="20"/>
        </w:rPr>
        <w:t xml:space="preserve">목표변수는 “구간에서 소비한 총 전력량(kWh)”이 아니라 “100km를 주행할 때 소비하는 에너지(kWh/100km)”이다. 값이 클수록 에너지 효율이 나쁘다. 국내에서 통용되는 ‘전비’는 보통 km/kWh를 의미하므로 혼동을 피하기 위해 본 보고서는 ‘에너지 소비율’로 표기를 통일한다.</w:t>
      </w:r>
    </w:p>
    <w:p>
      <w:pPr>
        <w:pBdr>
          <w:top w:val="single" w:color="888888" w:sz="4" w:space="8"/>
          <w:left w:val="single" w:color="888888" w:sz="4" w:space="10"/>
          <w:bottom w:val="single" w:color="888888" w:sz="4" w:space="8"/>
          <w:right w:val="single" w:color="888888" w:sz="4" w:space="10"/>
        </w:pBdr>
        <w:spacing w:after="160" w:before="140" w:line="300"/>
        <w:ind w:left="120" w:right="120"/>
      </w:pPr>
      <w:r>
        <w:rPr>
          <w:rFonts w:ascii="맑은 고딕" w:cs="맑은 고딕" w:eastAsia="맑은 고딕" w:hAnsi="맑은 고딕"/>
          <w:b/>
          <w:bCs/>
          <w:sz w:val="20"/>
          <w:szCs w:val="20"/>
        </w:rPr>
        <w:t xml:space="preserve">경로 비용 환산식 : </w:t>
      </w:r>
      <w:r>
        <w:rPr>
          <w:rFonts w:ascii="맑은 고딕" w:cs="맑은 고딕" w:eastAsia="맑은 고딕" w:hAnsi="맑은 고딕"/>
          <w:sz w:val="20"/>
          <w:szCs w:val="20"/>
        </w:rPr>
        <w:t xml:space="preserve">구간 소비전력량(kWh) = 예측 소비율(kWh/100km) × 구간 거리(km) ÷ 100</w:t>
      </w:r>
    </w:p>
    <w:p>
      <w:pPr>
        <w:spacing w:after="100" w:before="60" w:line="300"/>
        <w:jc w:val="left"/>
      </w:pPr>
      <w:r>
        <w:rPr>
          <w:rFonts w:ascii="맑은 고딕" w:cs="맑은 고딕" w:eastAsia="맑은 고딕" w:hAnsi="맑은 고딕"/>
          <w:color w:val="000000"/>
          <w:sz w:val="20"/>
          <w:szCs w:val="20"/>
        </w:rPr>
        <w:t xml:space="preserve">이 환산식이 있어야 모델 출력이 내비게이션의 의사결정 값으로 연결된다. 모델은 “비율”을 예측하고, 서비스는 그것을 “구간별 kWh”로 바꾼 뒤 경로 단위로 합산한다.</w:t>
      </w:r>
    </w:p>
    <w:p>
      <w:pPr>
        <w:pStyle w:val="Heading1"/>
        <w:spacing w:after="140" w:before="320"/>
      </w:pPr>
      <w:r>
        <w:rPr>
          <w:rFonts w:ascii="맑은 고딕" w:cs="맑은 고딕" w:eastAsia="맑은 고딕" w:hAnsi="맑은 고딕"/>
          <w:b/>
          <w:bCs/>
          <w:color w:val="000000"/>
          <w:sz w:val="28"/>
          <w:szCs w:val="28"/>
        </w:rPr>
        <w:t xml:space="preserve">3. 탐색적 데이터 분석 결과</w:t>
      </w:r>
    </w:p>
    <w:p>
      <w:pPr>
        <w:pStyle w:val="Heading2"/>
        <w:spacing w:after="100" w:before="220"/>
      </w:pPr>
      <w:r>
        <w:rPr>
          <w:rFonts w:ascii="맑은 고딕" w:cs="맑은 고딕" w:eastAsia="맑은 고딕" w:hAnsi="맑은 고딕"/>
          <w:b/>
          <w:bCs/>
          <w:color w:val="000000"/>
          <w:sz w:val="23"/>
          <w:szCs w:val="23"/>
        </w:rPr>
        <w:t xml:space="preserve">3.1 목표변수의 특성</w:t>
      </w:r>
    </w:p>
    <w:p>
      <w:pPr>
        <w:spacing w:after="100" w:before="60" w:line="300"/>
        <w:jc w:val="left"/>
      </w:pPr>
      <w:r>
        <w:rPr>
          <w:rFonts w:ascii="맑은 고딕" w:cs="맑은 고딕" w:eastAsia="맑은 고딕" w:hAnsi="맑은 고딕"/>
          <w:color w:val="000000"/>
          <w:sz w:val="20"/>
          <w:szCs w:val="20"/>
        </w:rPr>
        <w:t xml:space="preserve">평균 24.14, 중앙값 24.09, 표준편차 3.74, 왜도 0.033으로 좌우 치우침이 거의 없는 분포다. 한쪽으로 쏠린 분포가 아니므로 로그 변환 같은 목표변수 변환은 적용하지 않았고, RMSE와 MAE를 그대로 비교 지표로 쓸 수 있다고 판단했다.</w:t>
      </w:r>
    </w:p>
    <w:p>
      <w:pPr>
        <w:pStyle w:val="Heading2"/>
        <w:spacing w:after="100" w:before="220"/>
      </w:pPr>
      <w:r>
        <w:rPr>
          <w:rFonts w:ascii="맑은 고딕" w:cs="맑은 고딕" w:eastAsia="맑은 고딕" w:hAnsi="맑은 고딕"/>
          <w:b/>
          <w:bCs/>
          <w:color w:val="000000"/>
          <w:sz w:val="23"/>
          <w:szCs w:val="23"/>
        </w:rPr>
        <w:t xml:space="preserve">3.2 변수별 선형 상관관계</w:t>
      </w:r>
    </w:p>
    <w:tbl>
      <w:tblPr>
        <w:tblW w:type="dxa" w:w="9360"/>
        <w:tblBorders>
          <w:top w:val="single" w:color="808080" w:sz="4"/>
          <w:left w:val="single" w:color="808080" w:sz="4"/>
          <w:bottom w:val="single" w:color="808080" w:sz="4"/>
          <w:right w:val="single" w:color="808080" w:sz="4"/>
          <w:insideH w:val="single" w:color="B0B0B0" w:sz="2"/>
          <w:insideV w:val="single" w:color="B0B0B0" w:sz="2"/>
        </w:tblBorders>
      </w:tblPr>
      <w:tblGrid>
        <w:gridCol w:w="700"/>
        <w:gridCol w:w="2500"/>
        <w:gridCol w:w="1400"/>
        <w:gridCol w:w="4760"/>
      </w:tblGrid>
      <w:tr>
        <w:trPr>
          <w:tblHeader/>
        </w:trPr>
        <w:tc>
          <w:tcPr>
            <w:tcW w:type="dxa" w:w="7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순위</w:t>
            </w:r>
          </w:p>
        </w:tc>
        <w:tc>
          <w:tcPr>
            <w:tcW w:type="dxa" w:w="25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변수</w:t>
            </w:r>
          </w:p>
        </w:tc>
        <w:tc>
          <w:tcPr>
            <w:tcW w:type="dxa" w:w="14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상관계수</w:t>
            </w:r>
          </w:p>
        </w:tc>
        <w:tc>
          <w:tcPr>
            <w:tcW w:type="dxa" w:w="476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해석</w:t>
            </w:r>
          </w:p>
        </w:tc>
      </w:tr>
      <w:tr>
        <w:tc>
          <w:tcPr>
            <w:tcW w:type="dxa" w:w="7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1</w:t>
            </w:r>
          </w:p>
        </w:tc>
        <w:tc>
          <w:tcPr>
            <w:tcW w:type="dxa" w:w="25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road_grade_pct</w:t>
            </w:r>
          </w:p>
        </w:tc>
        <w:tc>
          <w:tcPr>
            <w:tcW w:type="dxa" w:w="14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0.505</w:t>
            </w:r>
          </w:p>
        </w:tc>
        <w:tc>
          <w:tcPr>
            <w:tcW w:type="dxa" w:w="47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오르막 경사가 클수록 소비율 증가</w:t>
            </w:r>
          </w:p>
        </w:tc>
      </w:tr>
      <w:tr>
        <w:tc>
          <w:tcPr>
            <w:tcW w:type="dxa" w:w="7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2</w:t>
            </w:r>
          </w:p>
        </w:tc>
        <w:tc>
          <w:tcPr>
            <w:tcW w:type="dxa" w:w="25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payload_kg</w:t>
            </w:r>
          </w:p>
        </w:tc>
        <w:tc>
          <w:tcPr>
            <w:tcW w:type="dxa" w:w="14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0.469</w:t>
            </w:r>
          </w:p>
        </w:tc>
        <w:tc>
          <w:tcPr>
            <w:tcW w:type="dxa" w:w="47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하중이 클수록 소비율 증가</w:t>
            </w:r>
          </w:p>
        </w:tc>
      </w:tr>
      <w:tr>
        <w:tc>
          <w:tcPr>
            <w:tcW w:type="dxa" w:w="7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3</w:t>
            </w:r>
          </w:p>
        </w:tc>
        <w:tc>
          <w:tcPr>
            <w:tcW w:type="dxa" w:w="25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speed_kmh</w:t>
            </w:r>
          </w:p>
        </w:tc>
        <w:tc>
          <w:tcPr>
            <w:tcW w:type="dxa" w:w="14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0.448</w:t>
            </w:r>
          </w:p>
        </w:tc>
        <w:tc>
          <w:tcPr>
            <w:tcW w:type="dxa" w:w="47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속도가 높을수록 소비율 증가</w:t>
            </w:r>
          </w:p>
        </w:tc>
      </w:tr>
      <w:tr>
        <w:tc>
          <w:tcPr>
            <w:tcW w:type="dxa" w:w="7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4</w:t>
            </w:r>
          </w:p>
        </w:tc>
        <w:tc>
          <w:tcPr>
            <w:tcW w:type="dxa" w:w="25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hvac_power_kw</w:t>
            </w:r>
          </w:p>
        </w:tc>
        <w:tc>
          <w:tcPr>
            <w:tcW w:type="dxa" w:w="14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0.370</w:t>
            </w:r>
          </w:p>
        </w:tc>
        <w:tc>
          <w:tcPr>
            <w:tcW w:type="dxa" w:w="47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냉난방 전력이 클수록 소비율 증가</w:t>
            </w:r>
          </w:p>
        </w:tc>
      </w:tr>
      <w:tr>
        <w:tc>
          <w:tcPr>
            <w:tcW w:type="dxa" w:w="7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5</w:t>
            </w:r>
          </w:p>
        </w:tc>
        <w:tc>
          <w:tcPr>
            <w:tcW w:type="dxa" w:w="25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driving_style_index</w:t>
            </w:r>
          </w:p>
        </w:tc>
        <w:tc>
          <w:tcPr>
            <w:tcW w:type="dxa" w:w="14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0.258</w:t>
            </w:r>
          </w:p>
        </w:tc>
        <w:tc>
          <w:tcPr>
            <w:tcW w:type="dxa" w:w="47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지수가 높을수록 소비율 증가</w:t>
            </w:r>
          </w:p>
        </w:tc>
      </w:tr>
      <w:tr>
        <w:tc>
          <w:tcPr>
            <w:tcW w:type="dxa" w:w="7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6</w:t>
            </w:r>
          </w:p>
        </w:tc>
        <w:tc>
          <w:tcPr>
            <w:tcW w:type="dxa" w:w="25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trip_distance_km</w:t>
            </w:r>
          </w:p>
        </w:tc>
        <w:tc>
          <w:tcPr>
            <w:tcW w:type="dxa" w:w="14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0.172</w:t>
            </w:r>
          </w:p>
        </w:tc>
        <w:tc>
          <w:tcPr>
            <w:tcW w:type="dxa" w:w="47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약한 양의 관계</w:t>
            </w:r>
          </w:p>
        </w:tc>
      </w:tr>
      <w:tr>
        <w:tc>
          <w:tcPr>
            <w:tcW w:type="dxa" w:w="7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7</w:t>
            </w:r>
          </w:p>
        </w:tc>
        <w:tc>
          <w:tcPr>
            <w:tcW w:type="dxa" w:w="25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ambient_temp_C</w:t>
            </w:r>
          </w:p>
        </w:tc>
        <w:tc>
          <w:tcPr>
            <w:tcW w:type="dxa" w:w="14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-0.155</w:t>
            </w:r>
          </w:p>
        </w:tc>
        <w:tc>
          <w:tcPr>
            <w:tcW w:type="dxa" w:w="47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직선 관계로는 약한 음의 방향</w:t>
            </w:r>
          </w:p>
        </w:tc>
      </w:tr>
      <w:tr>
        <w:tc>
          <w:tcPr>
            <w:tcW w:type="dxa" w:w="7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8</w:t>
            </w:r>
          </w:p>
        </w:tc>
        <w:tc>
          <w:tcPr>
            <w:tcW w:type="dxa" w:w="25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tire_pressure_bar</w:t>
            </w:r>
          </w:p>
        </w:tc>
        <w:tc>
          <w:tcPr>
            <w:tcW w:type="dxa" w:w="14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-0.095</w:t>
            </w:r>
          </w:p>
        </w:tc>
        <w:tc>
          <w:tcPr>
            <w:tcW w:type="dxa" w:w="47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매우 약한 음의 관계</w:t>
            </w:r>
          </w:p>
        </w:tc>
      </w:tr>
      <w:tr>
        <w:tc>
          <w:tcPr>
            <w:tcW w:type="dxa" w:w="7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9</w:t>
            </w:r>
          </w:p>
        </w:tc>
        <w:tc>
          <w:tcPr>
            <w:tcW w:type="dxa" w:w="25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battery_temp_C</w:t>
            </w:r>
          </w:p>
        </w:tc>
        <w:tc>
          <w:tcPr>
            <w:tcW w:type="dxa" w:w="14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-0.087</w:t>
            </w:r>
          </w:p>
        </w:tc>
        <w:tc>
          <w:tcPr>
            <w:tcW w:type="dxa" w:w="47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매우 약한 음의 관계</w:t>
            </w:r>
          </w:p>
        </w:tc>
      </w:tr>
    </w:tbl>
    <w:p>
      <w:pPr>
        <w:spacing w:after="100" w:before="60" w:line="300"/>
        <w:jc w:val="left"/>
      </w:pPr>
      <w:r>
        <w:rPr>
          <w:rFonts w:ascii="맑은 고딕" w:cs="맑은 고딕" w:eastAsia="맑은 고딕" w:hAnsi="맑은 고딕"/>
          <w:b/>
          <w:bCs/>
          <w:color w:val="000000"/>
          <w:sz w:val="20"/>
          <w:szCs w:val="20"/>
        </w:rPr>
        <w:t xml:space="preserve">해석 : </w:t>
      </w:r>
      <w:r>
        <w:rPr>
          <w:rFonts w:ascii="맑은 고딕" w:cs="맑은 고딕" w:eastAsia="맑은 고딕" w:hAnsi="맑은 고딕"/>
          <w:color w:val="000000"/>
          <w:sz w:val="20"/>
          <w:szCs w:val="20"/>
        </w:rPr>
        <w:t xml:space="preserve">에너지 소비율을 좌우하는 상위 요인은 경사도, 하중, 속도, 공조 전력 순이며, 이는 주행 저항과 부가 부하라는 물리적 상식과도 어긋나지 않는다. 다만 상관계수는 직선 관계만 요약하는 값이므로 하위 순위 변수를 “영향이 없다”고 해석하면 안 된다.</w:t>
      </w:r>
    </w:p>
    <w:p>
      <w:r>
        <w:br w:type="page"/>
      </w:r>
    </w:p>
    <w:p>
      <w:pPr>
        <w:pStyle w:val="Heading2"/>
        <w:spacing w:after="100" w:before="220"/>
      </w:pPr>
      <w:r>
        <w:rPr>
          <w:rFonts w:ascii="맑은 고딕" w:cs="맑은 고딕" w:eastAsia="맑은 고딕" w:hAnsi="맑은 고딕"/>
          <w:b/>
          <w:bCs/>
          <w:color w:val="000000"/>
          <w:sz w:val="23"/>
          <w:szCs w:val="23"/>
        </w:rPr>
        <w:t xml:space="preserve">3.3 상관계수로는 보이지 않던 비선형 관계</w:t>
      </w:r>
    </w:p>
    <w:p>
      <w:pPr>
        <w:spacing w:after="100" w:before="60" w:line="300"/>
        <w:jc w:val="left"/>
      </w:pPr>
      <w:r>
        <w:rPr>
          <w:rFonts w:ascii="맑은 고딕" w:cs="맑은 고딕" w:eastAsia="맑은 고딕" w:hAnsi="맑은 고딕"/>
          <w:color w:val="000000"/>
          <w:sz w:val="20"/>
          <w:szCs w:val="20"/>
        </w:rPr>
        <w:t xml:space="preserve">각 변수를 관측 수가 비슷한 10개 구간으로 나누고 구간별 평균 소비율을 확인했다. 이 보조 분석에서 외기온의 관계가 직선이 아니라는 점이 드러났다.</w:t>
      </w:r>
    </w:p>
    <w:p>
      <w:pPr>
        <w:spacing w:after="60" w:before="160" w:line="240" w:lineRule="auto"/>
        <w:jc w:val="center"/>
      </w:pPr>
      <w:r>
        <w:drawing>
          <wp:inline distT="0" distB="0" distL="0" distR="0">
            <wp:extent cx="59055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610100"/>
                    </a:xfrm>
                    <a:prstGeom prst="rect">
                      <a:avLst/>
                    </a:prstGeom>
                  </pic:spPr>
                </pic:pic>
              </a:graphicData>
            </a:graphic>
          </wp:inline>
        </w:drawing>
      </w:r>
    </w:p>
    <w:p>
      <w:pPr>
        <w:spacing w:after="180" w:before="0" w:line="240" w:lineRule="auto"/>
        <w:jc w:val="center"/>
      </w:pPr>
      <w:r>
        <w:rPr>
          <w:rFonts w:ascii="맑은 고딕" w:cs="맑은 고딕" w:eastAsia="맑은 고딕" w:hAnsi="맑은 고딕"/>
          <w:color w:val="444444"/>
          <w:sz w:val="17"/>
          <w:szCs w:val="17"/>
        </w:rPr>
        <w:t xml:space="preserve">[그림 1] 변수별 구간 평균 소비율 추세 — 외기온(우측 상단)만 U자형을 보인다</w:t>
      </w:r>
    </w:p>
    <w:p>
      <w:pPr>
        <w:spacing w:after="100" w:before="60" w:line="300"/>
        <w:jc w:val="left"/>
      </w:pPr>
      <w:r>
        <w:rPr>
          <w:rFonts w:ascii="맑은 고딕" w:cs="맑은 고딕" w:eastAsia="맑은 고딕" w:hAnsi="맑은 고딕"/>
          <w:b/>
          <w:bCs/>
          <w:color w:val="000000"/>
          <w:sz w:val="20"/>
          <w:szCs w:val="20"/>
        </w:rPr>
        <w:t xml:space="preserve">해석 : </w:t>
      </w:r>
      <w:r>
        <w:rPr>
          <w:rFonts w:ascii="맑은 고딕" w:cs="맑은 고딕" w:eastAsia="맑은 고딕" w:hAnsi="맑은 고딕"/>
          <w:color w:val="000000"/>
          <w:sz w:val="20"/>
          <w:szCs w:val="20"/>
        </w:rPr>
        <w:t xml:space="preserve">속도·하중·경사도·공조 전력은 거의 직선에 가깝게 증가하지만, </w:t>
      </w:r>
      <w:r>
        <w:rPr>
          <w:rFonts w:ascii="맑은 고딕" w:cs="맑은 고딕" w:eastAsia="맑은 고딕" w:hAnsi="맑은 고딕"/>
          <w:b/>
          <w:bCs/>
          <w:color w:val="000000"/>
          <w:sz w:val="20"/>
          <w:szCs w:val="20"/>
        </w:rPr>
        <w:t xml:space="preserve">외기온은 저온 구간에서 높고 중간 온도(약 10~30°C)에서 낮아졌다가 고온 구간에서 다시 상승</w:t>
      </w:r>
      <w:r>
        <w:rPr>
          <w:rFonts w:ascii="맑은 고딕" w:cs="맑은 고딕" w:eastAsia="맑은 고딕" w:hAnsi="맑은 고딕"/>
          <w:color w:val="000000"/>
          <w:sz w:val="20"/>
          <w:szCs w:val="20"/>
        </w:rPr>
        <w:t xml:space="preserve">한다. 난방과 냉방이 모두 부가 전력을 쓰기 때문으로 볼 수 있다. 외기온의 단순 상관계수가 -0.155로 작게 나온 것은 영향이 작아서가 아니라, 증가 구간과 감소 구간이 서로 상쇄되어 직선 하나로는 표현되지 않기 때문이다.</w:t>
      </w:r>
    </w:p>
    <w:p>
      <w:pPr>
        <w:pBdr>
          <w:top w:val="single" w:color="888888" w:sz="4" w:space="8"/>
          <w:left w:val="single" w:color="888888" w:sz="4" w:space="10"/>
          <w:bottom w:val="single" w:color="888888" w:sz="4" w:space="8"/>
          <w:right w:val="single" w:color="888888" w:sz="4" w:space="10"/>
        </w:pBdr>
        <w:spacing w:after="160" w:before="140" w:line="300"/>
        <w:ind w:left="120" w:right="120"/>
      </w:pPr>
      <w:r>
        <w:rPr>
          <w:rFonts w:ascii="맑은 고딕" w:cs="맑은 고딕" w:eastAsia="맑은 고딕" w:hAnsi="맑은 고딕"/>
          <w:b/>
          <w:bCs/>
          <w:sz w:val="20"/>
          <w:szCs w:val="20"/>
        </w:rPr>
        <w:t xml:space="preserve">이 발견이 곧 모델 설계 근거가 된다. </w:t>
      </w:r>
      <w:r>
        <w:rPr>
          <w:rFonts w:ascii="맑은 고딕" w:cs="맑은 고딕" w:eastAsia="맑은 고딕" w:hAnsi="맑은 고딕"/>
          <w:sz w:val="20"/>
          <w:szCs w:val="20"/>
        </w:rPr>
        <w:t xml:space="preserve">단일 계수로 외기온을 다루는 선형회귀는 이 U자형을 구조적으로 표현할 수 없으므로, 6.3절에서 저온·고온 파생변수를 추가하는 근거로 사용했다.</w:t>
      </w:r>
    </w:p>
    <w:p>
      <w:pPr>
        <w:pStyle w:val="Heading2"/>
        <w:spacing w:after="100" w:before="220"/>
      </w:pPr>
      <w:r>
        <w:rPr>
          <w:rFonts w:ascii="맑은 고딕" w:cs="맑은 고딕" w:eastAsia="맑은 고딕" w:hAnsi="맑은 고딕"/>
          <w:b/>
          <w:bCs/>
          <w:color w:val="000000"/>
          <w:sz w:val="23"/>
          <w:szCs w:val="23"/>
        </w:rPr>
        <w:t xml:space="preserve">3.4 입력변수 간 관계</w:t>
      </w:r>
    </w:p>
    <w:p>
      <w:pPr>
        <w:spacing w:after="100" w:before="60" w:line="300"/>
        <w:jc w:val="left"/>
      </w:pPr>
      <w:r>
        <w:rPr>
          <w:rFonts w:ascii="맑은 고딕" w:cs="맑은 고딕" w:eastAsia="맑은 고딕" w:hAnsi="맑은 고딕"/>
          <w:color w:val="000000"/>
          <w:sz w:val="20"/>
          <w:szCs w:val="20"/>
        </w:rPr>
        <w:t xml:space="preserve">입력변수 상호 간 상관계수는 모두 0에 가까워 다중공선성 우려가 크지 않다. 따라서 변수를 사전에 제거하지 않고 9개를 모두 사용하기로 했으며, 선형회귀 계수 해석의 안정성도 확보할 수 있다고 판단했다.</w:t>
      </w:r>
    </w:p>
    <w:p>
      <w:pPr>
        <w:pStyle w:val="Heading1"/>
        <w:spacing w:after="140" w:before="320"/>
      </w:pPr>
      <w:r>
        <w:rPr>
          <w:rFonts w:ascii="맑은 고딕" w:cs="맑은 고딕" w:eastAsia="맑은 고딕" w:hAnsi="맑은 고딕"/>
          <w:b/>
          <w:bCs/>
          <w:color w:val="000000"/>
          <w:sz w:val="28"/>
          <w:szCs w:val="28"/>
        </w:rPr>
        <w:t xml:space="preserve">4. 전처리 및 데이터 설계 판단</w:t>
      </w:r>
    </w:p>
    <w:p>
      <w:pPr>
        <w:spacing w:after="100" w:before="60" w:line="300"/>
        <w:jc w:val="left"/>
      </w:pPr>
      <w:r>
        <w:rPr>
          <w:rFonts w:ascii="맑은 고딕" w:cs="맑은 고딕" w:eastAsia="맑은 고딕" w:hAnsi="맑은 고딕"/>
          <w:color w:val="000000"/>
          <w:sz w:val="20"/>
          <w:szCs w:val="20"/>
        </w:rPr>
        <w:t xml:space="preserve">처리 방법 자체보다 “왜 그렇게 처리했는가”를 기준으로 정리하면 다음과 같다.</w:t>
      </w:r>
    </w:p>
    <w:tbl>
      <w:tblPr>
        <w:tblW w:type="dxa" w:w="9360"/>
        <w:tblBorders>
          <w:top w:val="single" w:color="808080" w:sz="4"/>
          <w:left w:val="single" w:color="808080" w:sz="4"/>
          <w:bottom w:val="single" w:color="808080" w:sz="4"/>
          <w:right w:val="single" w:color="808080" w:sz="4"/>
          <w:insideH w:val="single" w:color="B0B0B0" w:sz="2"/>
          <w:insideV w:val="single" w:color="B0B0B0" w:sz="2"/>
        </w:tblBorders>
      </w:tblPr>
      <w:tblGrid>
        <w:gridCol w:w="1700"/>
        <w:gridCol w:w="2400"/>
        <w:gridCol w:w="5260"/>
      </w:tblGrid>
      <w:tr>
        <w:trPr>
          <w:tblHeader/>
        </w:trPr>
        <w:tc>
          <w:tcPr>
            <w:tcW w:type="dxa" w:w="17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판단 항목</w:t>
            </w:r>
          </w:p>
        </w:tc>
        <w:tc>
          <w:tcPr>
            <w:tcW w:type="dxa" w:w="24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결정</w:t>
            </w:r>
          </w:p>
        </w:tc>
        <w:tc>
          <w:tcPr>
            <w:tcW w:type="dxa" w:w="526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판단 근거</w:t>
            </w:r>
          </w:p>
        </w:tc>
      </w:tr>
      <w:tr>
        <w:tc>
          <w:tcPr>
            <w:tcW w:type="dxa" w:w="17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결측치 처리</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적용하지 않음</w:t>
            </w:r>
          </w:p>
        </w:tc>
        <w:tc>
          <w:tcPr>
            <w:tcW w:type="dxa" w:w="52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9개 변수 모두 결측 0건. 불필요한 대체는 오히려 분포를 왜곡한다.</w:t>
            </w:r>
          </w:p>
        </w:tc>
      </w:tr>
      <w:tr>
        <w:tc>
          <w:tcPr>
            <w:tcW w:type="dxa" w:w="17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중복행 제거</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적용하지 않음</w:t>
            </w:r>
          </w:p>
        </w:tc>
        <w:tc>
          <w:tcPr>
            <w:tcW w:type="dxa" w:w="52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중복행 0건으로 제거 대상이 없다.</w:t>
            </w:r>
          </w:p>
        </w:tc>
      </w:tr>
      <w:tr>
        <w:tc>
          <w:tcPr>
            <w:tcW w:type="dxa" w:w="17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범주형 인코딩</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적용하지 않음</w:t>
            </w:r>
          </w:p>
        </w:tc>
        <w:tc>
          <w:tcPr>
            <w:tcW w:type="dxa" w:w="52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모든 열이 float64 수치형이므로 원-핫 인코딩 대상이 없다.</w:t>
            </w:r>
          </w:p>
        </w:tc>
      </w:tr>
      <w:tr>
        <w:tc>
          <w:tcPr>
            <w:tcW w:type="dxa" w:w="17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스케일링</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적용하지 않음</w:t>
            </w:r>
          </w:p>
        </w:tc>
        <w:tc>
          <w:tcPr>
            <w:tcW w:type="dxa" w:w="52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선형회귀의 예측 성능은 스케일에 영향받지 않고, 트리는 분할 기준이 값의 순서라 스케일링이 불필요하다. 계수 크기 비교는 7.2절의 표준화 영향도로 대체했다.</w:t>
            </w:r>
          </w:p>
        </w:tc>
      </w:tr>
      <w:tr>
        <w:tc>
          <w:tcPr>
            <w:tcW w:type="dxa" w:w="17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이상치 제거</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적용하지 않음</w:t>
            </w:r>
          </w:p>
        </w:tc>
        <w:tc>
          <w:tcPr>
            <w:tcW w:type="dxa" w:w="52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모든 값이 물리적으로 가능한 범위 안에 있고, 극단 조건(급경사·만재·혹한)이야말로 예측이 가장 필요한 구간이라 제거 시 실제 사용 상황을 잃는다.</w:t>
            </w:r>
          </w:p>
        </w:tc>
      </w:tr>
      <w:tr>
        <w:tc>
          <w:tcPr>
            <w:tcW w:type="dxa" w:w="17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데이터 분리</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Train 6,400 / Test 1,600 (80:20), random_state=42</w:t>
            </w:r>
          </w:p>
        </w:tc>
        <w:tc>
          <w:tcPr>
            <w:tcW w:type="dxa" w:w="52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먼저 분리한 뒤 전처리·튜닝 기준을 학습 데이터에서만 결정해 데이터 누수를 차단한다. 시드를 고정해 모델 간 비교가 동일 조건에서 이뤄지도록 했다.</w:t>
            </w:r>
          </w:p>
        </w:tc>
      </w:tr>
      <w:tr>
        <w:tc>
          <w:tcPr>
            <w:tcW w:type="dxa" w:w="17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파생변수</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저온·고온 파생변수 2개 추가</w:t>
            </w:r>
          </w:p>
        </w:tc>
        <w:tc>
          <w:tcPr>
            <w:tcW w:type="dxa" w:w="52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3.3절에서 확인한 외기온의 비선형 관계를 반영하기 위함. 기준 온도는 학습 데이터를 다시 나눈 내부 검증으로만 선택했다.</w:t>
            </w:r>
          </w:p>
        </w:tc>
      </w:tr>
    </w:tbl>
    <w:p>
      <w:pPr>
        <w:pBdr>
          <w:top w:val="single" w:color="888888" w:sz="4" w:space="8"/>
          <w:left w:val="single" w:color="888888" w:sz="4" w:space="10"/>
          <w:bottom w:val="single" w:color="888888" w:sz="4" w:space="8"/>
          <w:right w:val="single" w:color="888888" w:sz="4" w:space="10"/>
        </w:pBdr>
        <w:spacing w:after="160" w:before="140" w:line="300"/>
        <w:ind w:left="120" w:right="120"/>
      </w:pPr>
      <w:r>
        <w:rPr>
          <w:rFonts w:ascii="맑은 고딕" w:cs="맑은 고딕" w:eastAsia="맑은 고딕" w:hAnsi="맑은 고딕"/>
          <w:b/>
          <w:bCs/>
          <w:sz w:val="20"/>
          <w:szCs w:val="20"/>
        </w:rPr>
        <w:t xml:space="preserve">누수 방지 원칙 : </w:t>
      </w:r>
      <w:r>
        <w:rPr>
          <w:rFonts w:ascii="맑은 고딕" w:cs="맑은 고딕" w:eastAsia="맑은 고딕" w:hAnsi="맑은 고딕"/>
          <w:sz w:val="20"/>
          <w:szCs w:val="20"/>
        </w:rPr>
        <w:t xml:space="preserve">테스트 데이터는 최종 성능 확인에만 사용했다. 파생변수의 온도 기준, 트리의 하이퍼파라미터, 최종 모델 후보는 모두 학습 데이터 내부의 검증·교차검증 결과만으로 결정했다.</w:t>
      </w:r>
    </w:p>
    <w:p>
      <w:pPr>
        <w:pStyle w:val="Heading1"/>
        <w:spacing w:after="140" w:before="320"/>
      </w:pPr>
      <w:r>
        <w:rPr>
          <w:rFonts w:ascii="맑은 고딕" w:cs="맑은 고딕" w:eastAsia="맑은 고딕" w:hAnsi="맑은 고딕"/>
          <w:b/>
          <w:bCs/>
          <w:color w:val="000000"/>
          <w:sz w:val="28"/>
          <w:szCs w:val="28"/>
        </w:rPr>
        <w:t xml:space="preserve">5. 모델링 설계</w:t>
      </w:r>
    </w:p>
    <w:p>
      <w:pPr>
        <w:spacing w:after="100" w:before="60" w:line="300"/>
        <w:jc w:val="left"/>
      </w:pPr>
      <w:r>
        <w:rPr>
          <w:rFonts w:ascii="맑은 고딕" w:cs="맑은 고딕" w:eastAsia="맑은 고딕" w:hAnsi="맑은 고딕"/>
          <w:color w:val="000000"/>
          <w:sz w:val="20"/>
          <w:szCs w:val="20"/>
        </w:rPr>
        <w:t xml:space="preserve">단일 모델의 성능만 제시하면 그 값이 좋은 것인지 판단할 기준이 없다. 따라서 기준 모델 → 비교 모델 → 개선 모델의 순서로 설계했다.</w:t>
      </w:r>
    </w:p>
    <w:tbl>
      <w:tblPr>
        <w:tblW w:type="dxa" w:w="9360"/>
        <w:tblBorders>
          <w:top w:val="single" w:color="808080" w:sz="4"/>
          <w:left w:val="single" w:color="808080" w:sz="4"/>
          <w:bottom w:val="single" w:color="808080" w:sz="4"/>
          <w:right w:val="single" w:color="808080" w:sz="4"/>
          <w:insideH w:val="single" w:color="B0B0B0" w:sz="2"/>
          <w:insideV w:val="single" w:color="B0B0B0" w:sz="2"/>
        </w:tblBorders>
      </w:tblPr>
      <w:tblGrid>
        <w:gridCol w:w="1300"/>
        <w:gridCol w:w="3000"/>
        <w:gridCol w:w="5060"/>
      </w:tblGrid>
      <w:tr>
        <w:trPr>
          <w:tblHeader/>
        </w:trPr>
        <w:tc>
          <w:tcPr>
            <w:tcW w:type="dxa" w:w="13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단계</w:t>
            </w:r>
          </w:p>
        </w:tc>
        <w:tc>
          <w:tcPr>
            <w:tcW w:type="dxa" w:w="30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모델</w:t>
            </w:r>
          </w:p>
        </w:tc>
        <w:tc>
          <w:tcPr>
            <w:tcW w:type="dxa" w:w="506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이 단계에서 확인하려는 것</w:t>
            </w:r>
          </w:p>
        </w:tc>
      </w:tr>
      <w:tr>
        <w:tc>
          <w:tcPr>
            <w:tcW w:type="dxa" w:w="13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Baseline</w:t>
            </w:r>
          </w:p>
        </w:tc>
        <w:tc>
          <w:tcPr>
            <w:tcW w:type="dxa" w:w="30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LinearRegression</w:t>
            </w:r>
          </w:p>
        </w:tc>
        <w:tc>
          <w:tcPr>
            <w:tcW w:type="dxa" w:w="50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가장 단순한 구조가 이 문제에서 어느 정도 성능을 내는지, 이후 모델이 넘어야 할 기준선 확보</w:t>
            </w:r>
          </w:p>
        </w:tc>
      </w:tr>
      <w:tr>
        <w:tc>
          <w:tcPr>
            <w:tcW w:type="dxa" w:w="13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Compare</w:t>
            </w:r>
          </w:p>
        </w:tc>
        <w:tc>
          <w:tcPr>
            <w:tcW w:type="dxa" w:w="30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DecisionTreeRegressor (기본)</w:t>
            </w:r>
          </w:p>
        </w:tc>
        <w:tc>
          <w:tcPr>
            <w:tcW w:type="dxa" w:w="50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비선형 관계와 변수 조합을 반영하면 성능이 개선되는지, 제한 없는 트리에서 과적합이 어떻게 나타나는지</w:t>
            </w:r>
          </w:p>
        </w:tc>
      </w:tr>
      <w:tr>
        <w:tc>
          <w:tcPr>
            <w:tcW w:type="dxa" w:w="13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Compare</w:t>
            </w:r>
          </w:p>
        </w:tc>
        <w:tc>
          <w:tcPr>
            <w:tcW w:type="dxa" w:w="30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GridSearchCV + DecisionTreeRegressor</w:t>
            </w:r>
          </w:p>
        </w:tc>
        <w:tc>
          <w:tcPr>
            <w:tcW w:type="dxa" w:w="50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복잡도를 제어하면 트리의 일반화 성능이 회복되는지</w:t>
            </w:r>
          </w:p>
        </w:tc>
      </w:tr>
      <w:tr>
        <w:tc>
          <w:tcPr>
            <w:tcW w:type="dxa" w:w="13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Improve</w:t>
            </w:r>
          </w:p>
        </w:tc>
        <w:tc>
          <w:tcPr>
            <w:tcW w:type="dxa" w:w="30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개선 LinearRegression (저온·고온 파생변수)</w:t>
            </w:r>
          </w:p>
        </w:tc>
        <w:tc>
          <w:tcPr>
            <w:tcW w:type="dxa" w:w="50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EDA에서 찾은 비선형 구조를 입력 쪽에서 보완하면 기준 모델을 넘어설 수 있는지</w:t>
            </w:r>
          </w:p>
        </w:tc>
      </w:tr>
    </w:tbl>
    <w:p>
      <w:pPr>
        <w:spacing w:after="100" w:before="60" w:line="300"/>
        <w:jc w:val="left"/>
      </w:pPr>
      <w:r>
        <w:rPr>
          <w:rFonts w:ascii="맑은 고딕" w:cs="맑은 고딕" w:eastAsia="맑은 고딕" w:hAnsi="맑은 고딕"/>
          <w:color w:val="000000"/>
          <w:sz w:val="20"/>
          <w:szCs w:val="20"/>
        </w:rPr>
        <w:t xml:space="preserve">GridSearchCV 탐색 범위는 max_depth [3, 5, 7, 10, None], min_samples_split [2, 5, 10, 20], min_samples_leaf [1, 2, 5, 10]의 80개 조합이며, 평가 기준은 neg_mean_squared_error, 5-fold 교차검증을 사용했다.</w:t>
      </w:r>
    </w:p>
    <w:p>
      <w:pPr>
        <w:pStyle w:val="Heading1"/>
        <w:spacing w:after="140" w:before="320"/>
      </w:pPr>
      <w:r>
        <w:rPr>
          <w:rFonts w:ascii="맑은 고딕" w:cs="맑은 고딕" w:eastAsia="맑은 고딕" w:hAnsi="맑은 고딕"/>
          <w:b/>
          <w:bCs/>
          <w:color w:val="000000"/>
          <w:sz w:val="28"/>
          <w:szCs w:val="28"/>
        </w:rPr>
        <w:t xml:space="preserve">6. 평가 결과와 해석</w:t>
      </w:r>
    </w:p>
    <w:p>
      <w:pPr>
        <w:pStyle w:val="Heading2"/>
        <w:spacing w:after="100" w:before="220"/>
      </w:pPr>
      <w:r>
        <w:rPr>
          <w:rFonts w:ascii="맑은 고딕" w:cs="맑은 고딕" w:eastAsia="맑은 고딕" w:hAnsi="맑은 고딕"/>
          <w:b/>
          <w:bCs/>
          <w:color w:val="000000"/>
          <w:sz w:val="23"/>
          <w:szCs w:val="23"/>
        </w:rPr>
        <w:t xml:space="preserve">6.1 평가 지표의 역할</w:t>
      </w:r>
    </w:p>
    <w:tbl>
      <w:tblPr>
        <w:tblW w:type="dxa" w:w="9360"/>
        <w:tblBorders>
          <w:top w:val="single" w:color="808080" w:sz="4"/>
          <w:left w:val="single" w:color="808080" w:sz="4"/>
          <w:bottom w:val="single" w:color="808080" w:sz="4"/>
          <w:right w:val="single" w:color="808080" w:sz="4"/>
          <w:insideH w:val="single" w:color="B0B0B0" w:sz="2"/>
          <w:insideV w:val="single" w:color="B0B0B0" w:sz="2"/>
        </w:tblBorders>
      </w:tblPr>
      <w:tblGrid>
        <w:gridCol w:w="900"/>
        <w:gridCol w:w="2700"/>
        <w:gridCol w:w="5760"/>
      </w:tblGrid>
      <w:tr>
        <w:trPr>
          <w:tblHeader/>
        </w:trPr>
        <w:tc>
          <w:tcPr>
            <w:tcW w:type="dxa" w:w="9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지표</w:t>
            </w:r>
          </w:p>
        </w:tc>
        <w:tc>
          <w:tcPr>
            <w:tcW w:type="dxa" w:w="27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의미</w:t>
            </w:r>
          </w:p>
        </w:tc>
        <w:tc>
          <w:tcPr>
            <w:tcW w:type="dxa" w:w="576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이 프로젝트에서의 해석</w:t>
            </w:r>
          </w:p>
        </w:tc>
      </w:tr>
      <w:tr>
        <w:tc>
          <w:tcPr>
            <w:tcW w:type="dxa" w:w="9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R²</w:t>
            </w:r>
          </w:p>
        </w:tc>
        <w:tc>
          <w:tcPr>
            <w:tcW w:type="dxa" w:w="27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목표변수 변동에 대한 설명력</w:t>
            </w:r>
          </w:p>
        </w:tc>
        <w:tc>
          <w:tcPr>
            <w:tcW w:type="dxa" w:w="57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주행 조건만으로 소비율 차이를 어디까지 설명할 수 있는지</w:t>
            </w:r>
          </w:p>
        </w:tc>
      </w:tr>
      <w:tr>
        <w:tc>
          <w:tcPr>
            <w:tcW w:type="dxa" w:w="9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MAE</w:t>
            </w:r>
          </w:p>
        </w:tc>
        <w:tc>
          <w:tcPr>
            <w:tcW w:type="dxa" w:w="27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평균적인 절대 오차</w:t>
            </w:r>
          </w:p>
        </w:tc>
        <w:tc>
          <w:tcPr>
            <w:tcW w:type="dxa" w:w="57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평상시 안내가 평균 몇 kWh/100km 빗나가는지</w:t>
            </w:r>
          </w:p>
        </w:tc>
      </w:tr>
      <w:tr>
        <w:tc>
          <w:tcPr>
            <w:tcW w:type="dxa" w:w="9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RMSE</w:t>
            </w:r>
          </w:p>
        </w:tc>
        <w:tc>
          <w:tcPr>
            <w:tcW w:type="dxa" w:w="27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큰 오차에 더 큰 불이익</w:t>
            </w:r>
          </w:p>
        </w:tc>
        <w:tc>
          <w:tcPr>
            <w:tcW w:type="dxa" w:w="57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도착 SOC를 잘못 계산하게 만드는 큰 예측 실패의 위험도</w:t>
            </w:r>
          </w:p>
        </w:tc>
      </w:tr>
    </w:tbl>
    <w:p>
      <w:pPr>
        <w:spacing w:after="100" w:before="60" w:line="300"/>
        <w:jc w:val="left"/>
      </w:pPr>
      <w:r>
        <w:rPr>
          <w:rFonts w:ascii="맑은 고딕" w:cs="맑은 고딕" w:eastAsia="맑은 고딕" w:hAnsi="맑은 고딕"/>
          <w:color w:val="000000"/>
          <w:sz w:val="20"/>
          <w:szCs w:val="20"/>
        </w:rPr>
        <w:t xml:space="preserve">내비게이션 용도에서는 평균 오차보다 큰 오차 한 번이 더 위험하다. 도착 SOC를 과대평가하면 운전자는 충전 없이 출발했다가 목적지 전에 잔량이 부족해질 수 있다. 따라서 최종 모델 선정에서 RMSE에 더 무게를 두었다.</w:t>
      </w:r>
    </w:p>
    <w:p>
      <w:pPr>
        <w:pStyle w:val="Heading2"/>
        <w:spacing w:after="100" w:before="220"/>
      </w:pPr>
      <w:r>
        <w:rPr>
          <w:rFonts w:ascii="맑은 고딕" w:cs="맑은 고딕" w:eastAsia="맑은 고딕" w:hAnsi="맑은 고딕"/>
          <w:b/>
          <w:bCs/>
          <w:color w:val="000000"/>
          <w:sz w:val="23"/>
          <w:szCs w:val="23"/>
        </w:rPr>
        <w:t xml:space="preserve">6.2 1차 모델 비교</w:t>
      </w:r>
    </w:p>
    <w:tbl>
      <w:tblPr>
        <w:tblW w:type="dxa" w:w="9360"/>
        <w:tblBorders>
          <w:top w:val="single" w:color="808080" w:sz="4"/>
          <w:left w:val="single" w:color="808080" w:sz="4"/>
          <w:bottom w:val="single" w:color="808080" w:sz="4"/>
          <w:right w:val="single" w:color="808080" w:sz="4"/>
          <w:insideH w:val="single" w:color="B0B0B0" w:sz="2"/>
          <w:insideV w:val="single" w:color="B0B0B0" w:sz="2"/>
        </w:tblBorders>
      </w:tblPr>
      <w:tblGrid>
        <w:gridCol w:w="2360"/>
        <w:gridCol w:w="1160"/>
        <w:gridCol w:w="1160"/>
        <w:gridCol w:w="1240"/>
        <w:gridCol w:w="1240"/>
        <w:gridCol w:w="1100"/>
        <w:gridCol w:w="1100"/>
      </w:tblGrid>
      <w:tr>
        <w:trPr>
          <w:tblHeader/>
        </w:trPr>
        <w:tc>
          <w:tcPr>
            <w:tcW w:type="dxa" w:w="236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모델</w:t>
            </w:r>
          </w:p>
        </w:tc>
        <w:tc>
          <w:tcPr>
            <w:tcW w:type="dxa" w:w="116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Train MAE</w:t>
            </w:r>
          </w:p>
        </w:tc>
        <w:tc>
          <w:tcPr>
            <w:tcW w:type="dxa" w:w="116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Test MAE</w:t>
            </w:r>
          </w:p>
        </w:tc>
        <w:tc>
          <w:tcPr>
            <w:tcW w:type="dxa" w:w="124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Train RMSE</w:t>
            </w:r>
          </w:p>
        </w:tc>
        <w:tc>
          <w:tcPr>
            <w:tcW w:type="dxa" w:w="124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Test RMSE</w:t>
            </w:r>
          </w:p>
        </w:tc>
        <w:tc>
          <w:tcPr>
            <w:tcW w:type="dxa" w:w="11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Train R²</w:t>
            </w:r>
          </w:p>
        </w:tc>
        <w:tc>
          <w:tcPr>
            <w:tcW w:type="dxa" w:w="11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Test R²</w:t>
            </w:r>
          </w:p>
        </w:tc>
      </w:tr>
      <w:tr>
        <w:tc>
          <w:tcPr>
            <w:tcW w:type="dxa" w:w="2360"/>
            <w:tcMar>
              <w:top w:type="dxa" w:w="70"/>
              <w:left w:type="dxa" w:w="110"/>
              <w:bottom w:type="dxa" w:w="70"/>
              <w:right w:type="dxa" w:w="110"/>
            </w:tcMar>
          </w:tcPr>
          <w:p>
            <w:pPr>
              <w:spacing w:after="0" w:before="0" w:line="260"/>
              <w:jc w:val="left"/>
            </w:pPr>
            <w:r>
              <w:rPr>
                <w:rFonts w:ascii="맑은 고딕" w:cs="맑은 고딕" w:eastAsia="맑은 고딕" w:hAnsi="맑은 고딕"/>
                <w:b/>
                <w:bCs/>
                <w:sz w:val="18"/>
                <w:szCs w:val="18"/>
              </w:rPr>
              <w:t xml:space="preserve">Linear Regression</w:t>
            </w:r>
          </w:p>
        </w:tc>
        <w:tc>
          <w:tcPr>
            <w:tcW w:type="dxa" w:w="1160"/>
            <w:tcMar>
              <w:top w:type="dxa" w:w="70"/>
              <w:left w:type="dxa" w:w="110"/>
              <w:bottom w:type="dxa" w:w="70"/>
              <w:right w:type="dxa" w:w="110"/>
            </w:tcMar>
          </w:tcPr>
          <w:p>
            <w:pPr>
              <w:spacing w:after="0" w:before="0" w:line="260"/>
              <w:jc w:val="right"/>
            </w:pPr>
            <w:r>
              <w:rPr>
                <w:rFonts w:ascii="맑은 고딕" w:cs="맑은 고딕" w:eastAsia="맑은 고딕" w:hAnsi="맑은 고딕"/>
                <w:b/>
                <w:bCs/>
                <w:sz w:val="18"/>
                <w:szCs w:val="18"/>
              </w:rPr>
              <w:t xml:space="preserve">0.8052</w:t>
            </w:r>
          </w:p>
        </w:tc>
        <w:tc>
          <w:tcPr>
            <w:tcW w:type="dxa" w:w="1160"/>
            <w:tcMar>
              <w:top w:type="dxa" w:w="70"/>
              <w:left w:type="dxa" w:w="110"/>
              <w:bottom w:type="dxa" w:w="70"/>
              <w:right w:type="dxa" w:w="110"/>
            </w:tcMar>
          </w:tcPr>
          <w:p>
            <w:pPr>
              <w:spacing w:after="0" w:before="0" w:line="260"/>
              <w:jc w:val="right"/>
            </w:pPr>
            <w:r>
              <w:rPr>
                <w:rFonts w:ascii="맑은 고딕" w:cs="맑은 고딕" w:eastAsia="맑은 고딕" w:hAnsi="맑은 고딕"/>
                <w:b/>
                <w:bCs/>
                <w:sz w:val="18"/>
                <w:szCs w:val="18"/>
              </w:rPr>
              <w:t xml:space="preserve">0.8107</w:t>
            </w:r>
          </w:p>
        </w:tc>
        <w:tc>
          <w:tcPr>
            <w:tcW w:type="dxa" w:w="1240"/>
            <w:tcMar>
              <w:top w:type="dxa" w:w="70"/>
              <w:left w:type="dxa" w:w="110"/>
              <w:bottom w:type="dxa" w:w="70"/>
              <w:right w:type="dxa" w:w="110"/>
            </w:tcMar>
          </w:tcPr>
          <w:p>
            <w:pPr>
              <w:spacing w:after="0" w:before="0" w:line="260"/>
              <w:jc w:val="right"/>
            </w:pPr>
            <w:r>
              <w:rPr>
                <w:rFonts w:ascii="맑은 고딕" w:cs="맑은 고딕" w:eastAsia="맑은 고딕" w:hAnsi="맑은 고딕"/>
                <w:b/>
                <w:bCs/>
                <w:sz w:val="18"/>
                <w:szCs w:val="18"/>
              </w:rPr>
              <w:t xml:space="preserve">1.0031</w:t>
            </w:r>
          </w:p>
        </w:tc>
        <w:tc>
          <w:tcPr>
            <w:tcW w:type="dxa" w:w="1240"/>
            <w:tcMar>
              <w:top w:type="dxa" w:w="70"/>
              <w:left w:type="dxa" w:w="110"/>
              <w:bottom w:type="dxa" w:w="70"/>
              <w:right w:type="dxa" w:w="110"/>
            </w:tcMar>
          </w:tcPr>
          <w:p>
            <w:pPr>
              <w:spacing w:after="0" w:before="0" w:line="260"/>
              <w:jc w:val="right"/>
            </w:pPr>
            <w:r>
              <w:rPr>
                <w:rFonts w:ascii="맑은 고딕" w:cs="맑은 고딕" w:eastAsia="맑은 고딕" w:hAnsi="맑은 고딕"/>
                <w:b/>
                <w:bCs/>
                <w:sz w:val="18"/>
                <w:szCs w:val="18"/>
              </w:rPr>
              <w:t xml:space="preserve">1.0093</w:t>
            </w:r>
          </w:p>
        </w:tc>
        <w:tc>
          <w:tcPr>
            <w:tcW w:type="dxa" w:w="1100"/>
            <w:tcMar>
              <w:top w:type="dxa" w:w="70"/>
              <w:left w:type="dxa" w:w="110"/>
              <w:bottom w:type="dxa" w:w="70"/>
              <w:right w:type="dxa" w:w="110"/>
            </w:tcMar>
          </w:tcPr>
          <w:p>
            <w:pPr>
              <w:spacing w:after="0" w:before="0" w:line="260"/>
              <w:jc w:val="right"/>
            </w:pPr>
            <w:r>
              <w:rPr>
                <w:rFonts w:ascii="맑은 고딕" w:cs="맑은 고딕" w:eastAsia="맑은 고딕" w:hAnsi="맑은 고딕"/>
                <w:b/>
                <w:bCs/>
                <w:sz w:val="18"/>
                <w:szCs w:val="18"/>
              </w:rPr>
              <w:t xml:space="preserve">0.9285</w:t>
            </w:r>
          </w:p>
        </w:tc>
        <w:tc>
          <w:tcPr>
            <w:tcW w:type="dxa" w:w="1100"/>
            <w:tcMar>
              <w:top w:type="dxa" w:w="70"/>
              <w:left w:type="dxa" w:w="110"/>
              <w:bottom w:type="dxa" w:w="70"/>
              <w:right w:type="dxa" w:w="110"/>
            </w:tcMar>
          </w:tcPr>
          <w:p>
            <w:pPr>
              <w:spacing w:after="0" w:before="0" w:line="260"/>
              <w:jc w:val="right"/>
            </w:pPr>
            <w:r>
              <w:rPr>
                <w:rFonts w:ascii="맑은 고딕" w:cs="맑은 고딕" w:eastAsia="맑은 고딕" w:hAnsi="맑은 고딕"/>
                <w:b/>
                <w:bCs/>
                <w:sz w:val="18"/>
                <w:szCs w:val="18"/>
              </w:rPr>
              <w:t xml:space="preserve">0.9246</w:t>
            </w:r>
          </w:p>
        </w:tc>
      </w:tr>
      <w:tr>
        <w:tc>
          <w:tcPr>
            <w:tcW w:type="dxa" w:w="23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Tuned Decision Tree</w:t>
            </w:r>
          </w:p>
        </w:tc>
        <w:tc>
          <w:tcPr>
            <w:tcW w:type="dxa" w:w="116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0.9504</w:t>
            </w:r>
          </w:p>
        </w:tc>
        <w:tc>
          <w:tcPr>
            <w:tcW w:type="dxa" w:w="116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1.4330</w:t>
            </w:r>
          </w:p>
        </w:tc>
        <w:tc>
          <w:tcPr>
            <w:tcW w:type="dxa" w:w="124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1.2128</w:t>
            </w:r>
          </w:p>
        </w:tc>
        <w:tc>
          <w:tcPr>
            <w:tcW w:type="dxa" w:w="124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1.8064</w:t>
            </w:r>
          </w:p>
        </w:tc>
        <w:tc>
          <w:tcPr>
            <w:tcW w:type="dxa" w:w="11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0.8956</w:t>
            </w:r>
          </w:p>
        </w:tc>
        <w:tc>
          <w:tcPr>
            <w:tcW w:type="dxa" w:w="11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0.7585</w:t>
            </w:r>
          </w:p>
        </w:tc>
      </w:tr>
      <w:tr>
        <w:tc>
          <w:tcPr>
            <w:tcW w:type="dxa" w:w="23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Decision Tree</w:t>
            </w:r>
          </w:p>
        </w:tc>
        <w:tc>
          <w:tcPr>
            <w:tcW w:type="dxa" w:w="116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0.0000</w:t>
            </w:r>
          </w:p>
        </w:tc>
        <w:tc>
          <w:tcPr>
            <w:tcW w:type="dxa" w:w="116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1.5588</w:t>
            </w:r>
          </w:p>
        </w:tc>
        <w:tc>
          <w:tcPr>
            <w:tcW w:type="dxa" w:w="124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0.0000</w:t>
            </w:r>
          </w:p>
        </w:tc>
        <w:tc>
          <w:tcPr>
            <w:tcW w:type="dxa" w:w="124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1.9710</w:t>
            </w:r>
          </w:p>
        </w:tc>
        <w:tc>
          <w:tcPr>
            <w:tcW w:type="dxa" w:w="11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1.0000</w:t>
            </w:r>
          </w:p>
        </w:tc>
        <w:tc>
          <w:tcPr>
            <w:tcW w:type="dxa" w:w="11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0.7125</w:t>
            </w:r>
          </w:p>
        </w:tc>
      </w:tr>
    </w:tbl>
    <w:p>
      <w:pPr>
        <w:spacing w:after="100" w:before="60" w:line="300"/>
        <w:jc w:val="left"/>
      </w:pPr>
      <w:r>
        <w:rPr>
          <w:rFonts w:ascii="맑은 고딕" w:cs="맑은 고딕" w:eastAsia="맑은 고딕" w:hAnsi="맑은 고딕"/>
          <w:b/>
          <w:bCs/>
          <w:color w:val="000000"/>
          <w:sz w:val="20"/>
          <w:szCs w:val="20"/>
        </w:rPr>
        <w:t xml:space="preserve">과적합 진단 : </w:t>
      </w:r>
      <w:r>
        <w:rPr>
          <w:rFonts w:ascii="맑은 고딕" w:cs="맑은 고딕" w:eastAsia="맑은 고딕" w:hAnsi="맑은 고딕"/>
          <w:color w:val="000000"/>
          <w:sz w:val="20"/>
          <w:szCs w:val="20"/>
        </w:rPr>
        <w:t xml:space="preserve">기본 의사결정트리는 학습 MAE와 RMSE가 정확히 0, 학습 R²가 1.0이다. 학습 데이터를 완전히 외웠다는 뜻이며, 테스트 R²는 0.7125로 급락한다. GridSearchCV로 min_samples_leaf=10을 적용하자 학습 R²가 0.8956으로 내려오면서 테스트 R²는 0.7585로 올라, 복잡도 제어가 일반화에 도움이 된다는 점은 확인되었다.</w:t>
      </w:r>
    </w:p>
    <w:p>
      <w:pPr>
        <w:spacing w:after="100" w:before="60" w:line="300"/>
        <w:jc w:val="left"/>
      </w:pPr>
      <w:r>
        <w:rPr>
          <w:rFonts w:ascii="맑은 고딕" w:cs="맑은 고딕" w:eastAsia="맑은 고딕" w:hAnsi="맑은 고딕"/>
          <w:b/>
          <w:bCs/>
          <w:color w:val="000000"/>
          <w:sz w:val="20"/>
          <w:szCs w:val="20"/>
        </w:rPr>
        <w:t xml:space="preserve">그럼에도 트리가 선형회귀를 넘지 못한 이유 : </w:t>
      </w:r>
      <w:r>
        <w:rPr>
          <w:rFonts w:ascii="맑은 고딕" w:cs="맑은 고딕" w:eastAsia="맑은 고딕" w:hAnsi="맑은 고딕"/>
          <w:color w:val="000000"/>
          <w:sz w:val="20"/>
          <w:szCs w:val="20"/>
        </w:rPr>
        <w:t xml:space="preserve">이 데이터의 주요 변수(경사도·하중·속도·공조)는 3.3절에서 본 것처럼 목표변수와 거의 직선 관계다. 트리는 예측값이 구간마다 계단식으로 끊기므로, 매끄럽게 증가하는 관계를 표현하는 데 오히려 불리하다. 튜닝 트리의 교차검증 RMSE 1.8888도 기준 선형회귀의 테스트 RMSE 1.0093보다 크게 나빠, 시드를 바꾼다고 뒤집힐 차이가 아니다.</w:t>
      </w:r>
    </w:p>
    <w:p>
      <w:pPr>
        <w:pStyle w:val="Heading2"/>
        <w:spacing w:after="100" w:before="220"/>
      </w:pPr>
      <w:r>
        <w:rPr>
          <w:rFonts w:ascii="맑은 고딕" w:cs="맑은 고딕" w:eastAsia="맑은 고딕" w:hAnsi="맑은 고딕"/>
          <w:b/>
          <w:bCs/>
          <w:color w:val="000000"/>
          <w:sz w:val="23"/>
          <w:szCs w:val="23"/>
        </w:rPr>
        <w:t xml:space="preserve">6.3 기준 모델에 남아 있던 구조적 오류</w:t>
      </w:r>
    </w:p>
    <w:p>
      <w:pPr>
        <w:spacing w:after="100" w:before="60" w:line="300"/>
        <w:jc w:val="left"/>
      </w:pPr>
      <w:r>
        <w:rPr>
          <w:rFonts w:ascii="맑은 고딕" w:cs="맑은 고딕" w:eastAsia="맑은 고딕" w:hAnsi="맑은 고딕"/>
          <w:color w:val="000000"/>
          <w:sz w:val="20"/>
          <w:szCs w:val="20"/>
        </w:rPr>
        <w:t xml:space="preserve">선형회귀가 1차 비교에서 가장 좋았지만, 성능 지표만 보고 마무리하지 않고 잔차를 외기온 기준으로 다시 확인했다. 그 결과 온도 구간별 평균 잔차가 저온과 고온에서 양수, 중간 온도에서 음수인 U자형으로 남아 있었다. 이는 무작위 오차가 아니라 모델이 특정 조건에서 일관되게 과소예측하고 있다는 뜻이다.</w:t>
      </w:r>
    </w:p>
    <w:p>
      <w:pPr>
        <w:spacing w:after="100" w:before="60" w:line="300"/>
        <w:jc w:val="left"/>
      </w:pPr>
      <w:r>
        <w:rPr>
          <w:rFonts w:ascii="맑은 고딕" w:cs="맑은 고딕" w:eastAsia="맑은 고딕" w:hAnsi="맑은 고딕"/>
          <w:color w:val="000000"/>
          <w:sz w:val="20"/>
          <w:szCs w:val="20"/>
        </w:rPr>
        <w:t xml:space="preserve">대응으로 다음 두 파생변수를 추가했다. 두 변수 모두 기준을 넘지 않으면 0이 되므로, 중간 온도 구간의 예측에는 영향을 주지 않는다.</w:t>
      </w:r>
    </w:p>
    <w:p>
      <w:pPr>
        <w:spacing w:after="60" w:before="30" w:line="290"/>
        <w:ind w:left="340" w:hanging="200"/>
      </w:pPr>
      <w:r>
        <w:rPr>
          <w:rFonts w:ascii="맑은 고딕" w:cs="맑은 고딕" w:eastAsia="맑은 고딕" w:hAnsi="맑은 고딕"/>
          <w:sz w:val="20"/>
          <w:szCs w:val="20"/>
        </w:rPr>
        <w:t xml:space="preserve">– </w:t>
      </w:r>
      <w:r>
        <w:rPr>
          <w:rFonts w:ascii="맑은 고딕" w:cs="맑은 고딕" w:eastAsia="맑은 고딕" w:hAnsi="맑은 고딕"/>
          <w:b/>
          <w:bCs/>
          <w:sz w:val="20"/>
          <w:szCs w:val="20"/>
        </w:rPr>
        <w:t xml:space="preserve">cold_penalty</w:t>
      </w:r>
      <w:r>
        <w:rPr>
          <w:rFonts w:ascii="맑은 고딕" w:cs="맑은 고딕" w:eastAsia="맑은 고딕" w:hAnsi="맑은 고딕"/>
          <w:sz w:val="20"/>
          <w:szCs w:val="20"/>
        </w:rPr>
        <w:t xml:space="preserve"> = max(저온 기준 − 외기온, 0) — 기준보다 추운 정도</w:t>
      </w:r>
    </w:p>
    <w:p>
      <w:pPr>
        <w:spacing w:after="60" w:before="30" w:line="290"/>
        <w:ind w:left="340" w:hanging="200"/>
      </w:pPr>
      <w:r>
        <w:rPr>
          <w:rFonts w:ascii="맑은 고딕" w:cs="맑은 고딕" w:eastAsia="맑은 고딕" w:hAnsi="맑은 고딕"/>
          <w:sz w:val="20"/>
          <w:szCs w:val="20"/>
        </w:rPr>
        <w:t xml:space="preserve">– </w:t>
      </w:r>
      <w:r>
        <w:rPr>
          <w:rFonts w:ascii="맑은 고딕" w:cs="맑은 고딕" w:eastAsia="맑은 고딕" w:hAnsi="맑은 고딕"/>
          <w:b/>
          <w:bCs/>
          <w:sz w:val="20"/>
          <w:szCs w:val="20"/>
        </w:rPr>
        <w:t xml:space="preserve">hot_penalty</w:t>
      </w:r>
      <w:r>
        <w:rPr>
          <w:rFonts w:ascii="맑은 고딕" w:cs="맑은 고딕" w:eastAsia="맑은 고딕" w:hAnsi="맑은 고딕"/>
          <w:sz w:val="20"/>
          <w:szCs w:val="20"/>
        </w:rPr>
        <w:t xml:space="preserve"> = max(외기온 − 고온 기준, 0) — 기준보다 더운 정도</w:t>
      </w:r>
    </w:p>
    <w:p>
      <w:pPr>
        <w:spacing w:after="100" w:before="60" w:line="300"/>
        <w:jc w:val="left"/>
      </w:pPr>
      <w:r>
        <w:rPr>
          <w:rFonts w:ascii="맑은 고딕" w:cs="맑은 고딕" w:eastAsia="맑은 고딕" w:hAnsi="맑은 고딕"/>
          <w:color w:val="000000"/>
          <w:sz w:val="20"/>
          <w:szCs w:val="20"/>
        </w:rPr>
        <w:t xml:space="preserve">기준 온도를 테스트 결과를 보고 정하면 그 자체가 데이터 누수가 된다. 따라서 학습 데이터(6,400건)를 다시 8:2로 나눠 내부 검증셋을 만들고, 저온 후보 [5, 10, 15, 20]와 고온 후보 [25, 30, 35]의 12개 조합을 비교했다. 검증 RMSE가 가장 낮은 조합은 저온 10°C · 고온 30°C(검증 MAE 0.6168, RMSE 0.7806, R² 0.9547)였다.</w:t>
      </w:r>
    </w:p>
    <w:p>
      <w:pPr>
        <w:pStyle w:val="Heading2"/>
        <w:spacing w:after="100" w:before="220"/>
      </w:pPr>
      <w:r>
        <w:rPr>
          <w:rFonts w:ascii="맑은 고딕" w:cs="맑은 고딕" w:eastAsia="맑은 고딕" w:hAnsi="맑은 고딕"/>
          <w:b/>
          <w:bCs/>
          <w:color w:val="000000"/>
          <w:sz w:val="23"/>
          <w:szCs w:val="23"/>
        </w:rPr>
        <w:t xml:space="preserve">6.4 개선 결과</w:t>
      </w:r>
    </w:p>
    <w:tbl>
      <w:tblPr>
        <w:tblW w:type="dxa" w:w="9360"/>
        <w:tblBorders>
          <w:top w:val="single" w:color="808080" w:sz="4"/>
          <w:left w:val="single" w:color="808080" w:sz="4"/>
          <w:bottom w:val="single" w:color="808080" w:sz="4"/>
          <w:right w:val="single" w:color="808080" w:sz="4"/>
          <w:insideH w:val="single" w:color="B0B0B0" w:sz="2"/>
          <w:insideV w:val="single" w:color="B0B0B0" w:sz="2"/>
        </w:tblBorders>
      </w:tblPr>
      <w:tblGrid>
        <w:gridCol w:w="2360"/>
        <w:gridCol w:w="1160"/>
        <w:gridCol w:w="1160"/>
        <w:gridCol w:w="1240"/>
        <w:gridCol w:w="1240"/>
        <w:gridCol w:w="1100"/>
        <w:gridCol w:w="1100"/>
      </w:tblGrid>
      <w:tr>
        <w:trPr>
          <w:tblHeader/>
        </w:trPr>
        <w:tc>
          <w:tcPr>
            <w:tcW w:type="dxa" w:w="236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모델</w:t>
            </w:r>
          </w:p>
        </w:tc>
        <w:tc>
          <w:tcPr>
            <w:tcW w:type="dxa" w:w="116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Train MAE</w:t>
            </w:r>
          </w:p>
        </w:tc>
        <w:tc>
          <w:tcPr>
            <w:tcW w:type="dxa" w:w="116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Test MAE</w:t>
            </w:r>
          </w:p>
        </w:tc>
        <w:tc>
          <w:tcPr>
            <w:tcW w:type="dxa" w:w="124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Train RMSE</w:t>
            </w:r>
          </w:p>
        </w:tc>
        <w:tc>
          <w:tcPr>
            <w:tcW w:type="dxa" w:w="124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Test RMSE</w:t>
            </w:r>
          </w:p>
        </w:tc>
        <w:tc>
          <w:tcPr>
            <w:tcW w:type="dxa" w:w="11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Train R²</w:t>
            </w:r>
          </w:p>
        </w:tc>
        <w:tc>
          <w:tcPr>
            <w:tcW w:type="dxa" w:w="11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Test R²</w:t>
            </w:r>
          </w:p>
        </w:tc>
      </w:tr>
      <w:tr>
        <w:tc>
          <w:tcPr>
            <w:tcW w:type="dxa" w:w="2360"/>
            <w:shd w:fill="F2F2F2" w:color="auto" w:val="clear"/>
            <w:tcMar>
              <w:top w:type="dxa" w:w="70"/>
              <w:left w:type="dxa" w:w="110"/>
              <w:bottom w:type="dxa" w:w="70"/>
              <w:right w:type="dxa" w:w="110"/>
            </w:tcMar>
          </w:tcPr>
          <w:p>
            <w:pPr>
              <w:spacing w:after="0" w:before="0" w:line="260"/>
              <w:jc w:val="left"/>
            </w:pPr>
            <w:r>
              <w:rPr>
                <w:rFonts w:ascii="맑은 고딕" w:cs="맑은 고딕" w:eastAsia="맑은 고딕" w:hAnsi="맑은 고딕"/>
                <w:b/>
                <w:bCs/>
                <w:sz w:val="18"/>
                <w:szCs w:val="18"/>
              </w:rPr>
              <w:t xml:space="preserve">Improved Linear Regression</w:t>
            </w:r>
          </w:p>
        </w:tc>
        <w:tc>
          <w:tcPr>
            <w:tcW w:type="dxa" w:w="1160"/>
            <w:shd w:fill="F2F2F2"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bCs/>
                <w:sz w:val="18"/>
                <w:szCs w:val="18"/>
              </w:rPr>
              <w:t xml:space="preserve">0.6469</w:t>
            </w:r>
          </w:p>
        </w:tc>
        <w:tc>
          <w:tcPr>
            <w:tcW w:type="dxa" w:w="1160"/>
            <w:shd w:fill="F2F2F2"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bCs/>
                <w:sz w:val="18"/>
                <w:szCs w:val="18"/>
              </w:rPr>
              <w:t xml:space="preserve">0.6466</w:t>
            </w:r>
          </w:p>
        </w:tc>
        <w:tc>
          <w:tcPr>
            <w:tcW w:type="dxa" w:w="1240"/>
            <w:shd w:fill="F2F2F2"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bCs/>
                <w:sz w:val="18"/>
                <w:szCs w:val="18"/>
              </w:rPr>
              <w:t xml:space="preserve">0.8084</w:t>
            </w:r>
          </w:p>
        </w:tc>
        <w:tc>
          <w:tcPr>
            <w:tcW w:type="dxa" w:w="1240"/>
            <w:shd w:fill="F2F2F2"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bCs/>
                <w:sz w:val="18"/>
                <w:szCs w:val="18"/>
              </w:rPr>
              <w:t xml:space="preserve">0.8112</w:t>
            </w:r>
          </w:p>
        </w:tc>
        <w:tc>
          <w:tcPr>
            <w:tcW w:type="dxa" w:w="1100"/>
            <w:shd w:fill="F2F2F2"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bCs/>
                <w:sz w:val="18"/>
                <w:szCs w:val="18"/>
              </w:rPr>
              <w:t xml:space="preserve">0.9536</w:t>
            </w:r>
          </w:p>
        </w:tc>
        <w:tc>
          <w:tcPr>
            <w:tcW w:type="dxa" w:w="1100"/>
            <w:shd w:fill="F2F2F2"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bCs/>
                <w:sz w:val="18"/>
                <w:szCs w:val="18"/>
              </w:rPr>
              <w:t xml:space="preserve">0.9513</w:t>
            </w:r>
          </w:p>
        </w:tc>
      </w:tr>
      <w:tr>
        <w:tc>
          <w:tcPr>
            <w:tcW w:type="dxa" w:w="23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Linear Regression</w:t>
            </w:r>
          </w:p>
        </w:tc>
        <w:tc>
          <w:tcPr>
            <w:tcW w:type="dxa" w:w="116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0.8052</w:t>
            </w:r>
          </w:p>
        </w:tc>
        <w:tc>
          <w:tcPr>
            <w:tcW w:type="dxa" w:w="116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0.8107</w:t>
            </w:r>
          </w:p>
        </w:tc>
        <w:tc>
          <w:tcPr>
            <w:tcW w:type="dxa" w:w="124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1.0031</w:t>
            </w:r>
          </w:p>
        </w:tc>
        <w:tc>
          <w:tcPr>
            <w:tcW w:type="dxa" w:w="124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1.0093</w:t>
            </w:r>
          </w:p>
        </w:tc>
        <w:tc>
          <w:tcPr>
            <w:tcW w:type="dxa" w:w="11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0.9285</w:t>
            </w:r>
          </w:p>
        </w:tc>
        <w:tc>
          <w:tcPr>
            <w:tcW w:type="dxa" w:w="11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0.9246</w:t>
            </w:r>
          </w:p>
        </w:tc>
      </w:tr>
      <w:tr>
        <w:tc>
          <w:tcPr>
            <w:tcW w:type="dxa" w:w="23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Tuned Decision Tree</w:t>
            </w:r>
          </w:p>
        </w:tc>
        <w:tc>
          <w:tcPr>
            <w:tcW w:type="dxa" w:w="116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0.9504</w:t>
            </w:r>
          </w:p>
        </w:tc>
        <w:tc>
          <w:tcPr>
            <w:tcW w:type="dxa" w:w="116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1.4330</w:t>
            </w:r>
          </w:p>
        </w:tc>
        <w:tc>
          <w:tcPr>
            <w:tcW w:type="dxa" w:w="124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1.2128</w:t>
            </w:r>
          </w:p>
        </w:tc>
        <w:tc>
          <w:tcPr>
            <w:tcW w:type="dxa" w:w="124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1.8064</w:t>
            </w:r>
          </w:p>
        </w:tc>
        <w:tc>
          <w:tcPr>
            <w:tcW w:type="dxa" w:w="11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0.8956</w:t>
            </w:r>
          </w:p>
        </w:tc>
        <w:tc>
          <w:tcPr>
            <w:tcW w:type="dxa" w:w="11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0.7585</w:t>
            </w:r>
          </w:p>
        </w:tc>
      </w:tr>
      <w:tr>
        <w:tc>
          <w:tcPr>
            <w:tcW w:type="dxa" w:w="23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Decision Tree</w:t>
            </w:r>
          </w:p>
        </w:tc>
        <w:tc>
          <w:tcPr>
            <w:tcW w:type="dxa" w:w="116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0.0000</w:t>
            </w:r>
          </w:p>
        </w:tc>
        <w:tc>
          <w:tcPr>
            <w:tcW w:type="dxa" w:w="116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1.5588</w:t>
            </w:r>
          </w:p>
        </w:tc>
        <w:tc>
          <w:tcPr>
            <w:tcW w:type="dxa" w:w="124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0.0000</w:t>
            </w:r>
          </w:p>
        </w:tc>
        <w:tc>
          <w:tcPr>
            <w:tcW w:type="dxa" w:w="124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1.9710</w:t>
            </w:r>
          </w:p>
        </w:tc>
        <w:tc>
          <w:tcPr>
            <w:tcW w:type="dxa" w:w="11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1.0000</w:t>
            </w:r>
          </w:p>
        </w:tc>
        <w:tc>
          <w:tcPr>
            <w:tcW w:type="dxa" w:w="11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0.7125</w:t>
            </w:r>
          </w:p>
        </w:tc>
      </w:tr>
    </w:tbl>
    <w:p>
      <w:pPr>
        <w:spacing w:after="100" w:before="60" w:line="300"/>
        <w:jc w:val="left"/>
      </w:pPr>
      <w:r>
        <w:rPr>
          <w:rFonts w:ascii="맑은 고딕" w:cs="맑은 고딕" w:eastAsia="맑은 고딕" w:hAnsi="맑은 고딕"/>
          <w:color w:val="000000"/>
          <w:sz w:val="20"/>
          <w:szCs w:val="20"/>
        </w:rPr>
        <w:t xml:space="preserve">개선 선형회귀는 기준 선형회귀 대비 테스트 </w:t>
      </w:r>
      <w:r>
        <w:rPr>
          <w:rFonts w:ascii="맑은 고딕" w:cs="맑은 고딕" w:eastAsia="맑은 고딕" w:hAnsi="맑은 고딕"/>
          <w:b/>
          <w:bCs/>
          <w:color w:val="000000"/>
          <w:sz w:val="20"/>
          <w:szCs w:val="20"/>
        </w:rPr>
        <w:t xml:space="preserve">RMSE가 1.0093 → 0.8112로 19.62% 감소</w:t>
      </w:r>
      <w:r>
        <w:rPr>
          <w:rFonts w:ascii="맑은 고딕" w:cs="맑은 고딕" w:eastAsia="맑은 고딕" w:hAnsi="맑은 고딕"/>
          <w:color w:val="000000"/>
          <w:sz w:val="20"/>
          <w:szCs w:val="20"/>
        </w:rPr>
        <w:t xml:space="preserve">했고 MAE도 0.8107 → 0.6466으로 20.2% 감소했다. 학습 R² 0.9536과 테스트 R² 0.9513의 차이는 0.0023으로, 변수를 두 개 늘렸음에도 과적합 징후는 나타나지 않았다.</w:t>
      </w:r>
    </w:p>
    <w:p>
      <w:pPr>
        <w:spacing w:after="60" w:before="160" w:line="240" w:lineRule="auto"/>
        <w:jc w:val="center"/>
      </w:pPr>
      <w:r>
        <w:drawing>
          <wp:inline distT="0" distB="0" distL="0" distR="0">
            <wp:extent cx="581025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4467225"/>
                    </a:xfrm>
                    <a:prstGeom prst="rect">
                      <a:avLst/>
                    </a:prstGeom>
                  </pic:spPr>
                </pic:pic>
              </a:graphicData>
            </a:graphic>
          </wp:inline>
        </w:drawing>
      </w:r>
    </w:p>
    <w:p>
      <w:pPr>
        <w:spacing w:after="180" w:before="0" w:line="240" w:lineRule="auto"/>
        <w:jc w:val="center"/>
      </w:pPr>
      <w:r>
        <w:rPr>
          <w:rFonts w:ascii="맑은 고딕" w:cs="맑은 고딕" w:eastAsia="맑은 고딕" w:hAnsi="맑은 고딕"/>
          <w:color w:val="444444"/>
          <w:sz w:val="17"/>
          <w:szCs w:val="17"/>
        </w:rPr>
        <w:t xml:space="preserve">[그림 2] 개선 전후 비교 — 위: 실제값 대비 예측값, 아래: 외기온에 따른 잔차</w:t>
      </w:r>
    </w:p>
    <w:p>
      <w:pPr>
        <w:spacing w:after="100" w:before="60" w:line="300"/>
        <w:jc w:val="left"/>
      </w:pPr>
      <w:r>
        <w:rPr>
          <w:rFonts w:ascii="맑은 고딕" w:cs="맑은 고딕" w:eastAsia="맑은 고딕" w:hAnsi="맑은 고딕"/>
          <w:b/>
          <w:bCs/>
          <w:color w:val="000000"/>
          <w:sz w:val="20"/>
          <w:szCs w:val="20"/>
        </w:rPr>
        <w:t xml:space="preserve">해석 : </w:t>
      </w:r>
      <w:r>
        <w:rPr>
          <w:rFonts w:ascii="맑은 고딕" w:cs="맑은 고딕" w:eastAsia="맑은 고딕" w:hAnsi="맑은 고딕"/>
          <w:color w:val="000000"/>
          <w:sz w:val="20"/>
          <w:szCs w:val="20"/>
        </w:rPr>
        <w:t xml:space="preserve">좌하단 그래프에서 기준 모델의 잔차는 -10°C 부근과 40°C 부근이 0선 위로, 중간 온도가 0선 아래로 쏠린 곡선 형태를 보인다. 우하단의 개선 모델에서는 이 패턴이 사라지고 잔차가 전 온도 구간에서 0선을 중심으로 고르게 퍼져 있다.</w:t>
      </w:r>
    </w:p>
    <w:tbl>
      <w:tblPr>
        <w:tblW w:type="dxa" w:w="9360"/>
        <w:tblBorders>
          <w:top w:val="single" w:color="808080" w:sz="4"/>
          <w:left w:val="single" w:color="808080" w:sz="4"/>
          <w:bottom w:val="single" w:color="808080" w:sz="4"/>
          <w:right w:val="single" w:color="808080" w:sz="4"/>
          <w:insideH w:val="single" w:color="B0B0B0" w:sz="2"/>
          <w:insideV w:val="single" w:color="B0B0B0" w:sz="2"/>
        </w:tblBorders>
      </w:tblPr>
      <w:tblGrid>
        <w:gridCol w:w="3120"/>
        <w:gridCol w:w="3120"/>
        <w:gridCol w:w="3120"/>
      </w:tblGrid>
      <w:tr>
        <w:trPr>
          <w:tblHeader/>
        </w:trPr>
        <w:tc>
          <w:tcPr>
            <w:tcW w:type="dxa" w:w="312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외기온 구간</w:t>
            </w:r>
          </w:p>
        </w:tc>
        <w:tc>
          <w:tcPr>
            <w:tcW w:type="dxa" w:w="312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기준 모델 평균 잔차</w:t>
            </w:r>
          </w:p>
        </w:tc>
        <w:tc>
          <w:tcPr>
            <w:tcW w:type="dxa" w:w="312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개선 모델 평균 잔차</w:t>
            </w:r>
          </w:p>
        </w:tc>
      </w:tr>
      <w:tr>
        <w:tc>
          <w:tcPr>
            <w:tcW w:type="dxa" w:w="312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0°C 미만</w:t>
            </w:r>
          </w:p>
        </w:tc>
        <w:tc>
          <w:tcPr>
            <w:tcW w:type="dxa" w:w="312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+0.655</w:t>
            </w:r>
          </w:p>
        </w:tc>
        <w:tc>
          <w:tcPr>
            <w:tcW w:type="dxa" w:w="312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-0.018</w:t>
            </w:r>
          </w:p>
        </w:tc>
      </w:tr>
      <w:tr>
        <w:tc>
          <w:tcPr>
            <w:tcW w:type="dxa" w:w="312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0 ~ 10°C</w:t>
            </w:r>
          </w:p>
        </w:tc>
        <w:tc>
          <w:tcPr>
            <w:tcW w:type="dxa" w:w="312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-0.390</w:t>
            </w:r>
          </w:p>
        </w:tc>
        <w:tc>
          <w:tcPr>
            <w:tcW w:type="dxa" w:w="312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-0.016</w:t>
            </w:r>
          </w:p>
        </w:tc>
      </w:tr>
      <w:tr>
        <w:tc>
          <w:tcPr>
            <w:tcW w:type="dxa" w:w="312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10 ~ 20°C</w:t>
            </w:r>
          </w:p>
        </w:tc>
        <w:tc>
          <w:tcPr>
            <w:tcW w:type="dxa" w:w="312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-0.700</w:t>
            </w:r>
          </w:p>
        </w:tc>
        <w:tc>
          <w:tcPr>
            <w:tcW w:type="dxa" w:w="312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-0.044</w:t>
            </w:r>
          </w:p>
        </w:tc>
      </w:tr>
      <w:tr>
        <w:tc>
          <w:tcPr>
            <w:tcW w:type="dxa" w:w="312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20 ~ 30°C</w:t>
            </w:r>
          </w:p>
        </w:tc>
        <w:tc>
          <w:tcPr>
            <w:tcW w:type="dxa" w:w="312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-0.186</w:t>
            </w:r>
          </w:p>
        </w:tc>
        <w:tc>
          <w:tcPr>
            <w:tcW w:type="dxa" w:w="312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+0.054</w:t>
            </w:r>
          </w:p>
        </w:tc>
      </w:tr>
      <w:tr>
        <w:tc>
          <w:tcPr>
            <w:tcW w:type="dxa" w:w="312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30°C 초과</w:t>
            </w:r>
          </w:p>
        </w:tc>
        <w:tc>
          <w:tcPr>
            <w:tcW w:type="dxa" w:w="312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+0.575</w:t>
            </w:r>
          </w:p>
        </w:tc>
        <w:tc>
          <w:tcPr>
            <w:tcW w:type="dxa" w:w="312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-0.040</w:t>
            </w:r>
          </w:p>
        </w:tc>
      </w:tr>
    </w:tbl>
    <w:p>
      <w:pPr>
        <w:pBdr>
          <w:top w:val="single" w:color="888888" w:sz="4" w:space="8"/>
          <w:left w:val="single" w:color="888888" w:sz="4" w:space="10"/>
          <w:bottom w:val="single" w:color="888888" w:sz="4" w:space="8"/>
          <w:right w:val="single" w:color="888888" w:sz="4" w:space="10"/>
        </w:pBdr>
        <w:spacing w:after="160" w:before="140" w:line="300"/>
        <w:ind w:left="120" w:right="120"/>
      </w:pPr>
      <w:r>
        <w:rPr>
          <w:rFonts w:ascii="맑은 고딕" w:cs="맑은 고딕" w:eastAsia="맑은 고딕" w:hAnsi="맑은 고딕"/>
          <w:b/>
          <w:bCs/>
          <w:sz w:val="20"/>
          <w:szCs w:val="20"/>
        </w:rPr>
        <w:t xml:space="preserve">판단 : </w:t>
      </w:r>
      <w:r>
        <w:rPr>
          <w:rFonts w:ascii="맑은 고딕" w:cs="맑은 고딕" w:eastAsia="맑은 고딕" w:hAnsi="맑은 고딕"/>
          <w:sz w:val="20"/>
          <w:szCs w:val="20"/>
        </w:rPr>
        <w:t xml:space="preserve">단순히 점수가 올라간 것이 아니라, 특정 온도 조건에서 일관되게 발생하던 편향이 제거되었다. 혹한기·혹서기 안내의 신뢰도가 직접 개선되는 변화이므로 개선 모델 채택의 핵심 근거로 삼았다.</w:t>
      </w:r>
    </w:p>
    <w:p>
      <w:pPr>
        <w:pStyle w:val="Heading1"/>
        <w:spacing w:after="140" w:before="320"/>
      </w:pPr>
      <w:r>
        <w:rPr>
          <w:rFonts w:ascii="맑은 고딕" w:cs="맑은 고딕" w:eastAsia="맑은 고딕" w:hAnsi="맑은 고딕"/>
          <w:b/>
          <w:bCs/>
          <w:color w:val="000000"/>
          <w:sz w:val="28"/>
          <w:szCs w:val="28"/>
        </w:rPr>
        <w:t xml:space="preserve">7. 최종 모델 선정</w:t>
      </w:r>
    </w:p>
    <w:p>
      <w:pPr>
        <w:pStyle w:val="Heading2"/>
        <w:spacing w:after="100" w:before="220"/>
      </w:pPr>
      <w:r>
        <w:rPr>
          <w:rFonts w:ascii="맑은 고딕" w:cs="맑은 고딕" w:eastAsia="맑은 고딕" w:hAnsi="맑은 고딕"/>
          <w:b/>
          <w:bCs/>
          <w:color w:val="000000"/>
          <w:sz w:val="23"/>
          <w:szCs w:val="23"/>
        </w:rPr>
        <w:t xml:space="preserve">7.1 선정 근거</w:t>
      </w:r>
    </w:p>
    <w:p>
      <w:pPr>
        <w:spacing w:after="100" w:before="60" w:line="300"/>
        <w:jc w:val="left"/>
      </w:pPr>
      <w:r>
        <w:rPr>
          <w:rFonts w:ascii="맑은 고딕" w:cs="맑은 고딕" w:eastAsia="맑은 고딕" w:hAnsi="맑은 고딕"/>
          <w:color w:val="000000"/>
          <w:sz w:val="20"/>
          <w:szCs w:val="20"/>
        </w:rPr>
        <w:t xml:space="preserve">테스트 RMSE가 가장 작다는 이유만으로 모델을 정하지 않고, 사전에 정한 다섯 가지 조건을 모두 확인했다.</w:t>
      </w:r>
    </w:p>
    <w:tbl>
      <w:tblPr>
        <w:tblW w:type="dxa" w:w="9360"/>
        <w:tblBorders>
          <w:top w:val="single" w:color="808080" w:sz="4"/>
          <w:left w:val="single" w:color="808080" w:sz="4"/>
          <w:bottom w:val="single" w:color="808080" w:sz="4"/>
          <w:right w:val="single" w:color="808080" w:sz="4"/>
          <w:insideH w:val="single" w:color="B0B0B0" w:sz="2"/>
          <w:insideV w:val="single" w:color="B0B0B0" w:sz="2"/>
        </w:tblBorders>
      </w:tblPr>
      <w:tblGrid>
        <w:gridCol w:w="4680"/>
        <w:gridCol w:w="4680"/>
      </w:tblGrid>
      <w:tr>
        <w:trPr>
          <w:tblHeader/>
        </w:trPr>
        <w:tc>
          <w:tcPr>
            <w:tcW w:type="dxa" w:w="468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선정 조건</w:t>
            </w:r>
          </w:p>
        </w:tc>
        <w:tc>
          <w:tcPr>
            <w:tcW w:type="dxa" w:w="468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확인 결과</w:t>
            </w:r>
          </w:p>
        </w:tc>
      </w:tr>
      <w:tr>
        <w:tc>
          <w:tcPr>
            <w:tcW w:type="dxa" w:w="468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기준 선형회귀보다 테스트 MAE·RMSE가 감소할 것</w:t>
            </w:r>
          </w:p>
        </w:tc>
        <w:tc>
          <w:tcPr>
            <w:tcW w:type="dxa" w:w="468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충족 — MAE 20.2%, RMSE 19.62% 감소</w:t>
            </w:r>
          </w:p>
        </w:tc>
      </w:tr>
      <w:tr>
        <w:tc>
          <w:tcPr>
            <w:tcW w:type="dxa" w:w="468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테스트 R²가 증가할 것</w:t>
            </w:r>
          </w:p>
        </w:tc>
        <w:tc>
          <w:tcPr>
            <w:tcW w:type="dxa" w:w="468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충족 — 0.9246 → 0.9513</w:t>
            </w:r>
          </w:p>
        </w:tc>
      </w:tr>
      <w:tr>
        <w:tc>
          <w:tcPr>
            <w:tcW w:type="dxa" w:w="468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학습·테스트 성능 차이가 작을 것</w:t>
            </w:r>
          </w:p>
        </w:tc>
        <w:tc>
          <w:tcPr>
            <w:tcW w:type="dxa" w:w="468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충족 — R² 차이 0.0023, MAE 차이 0.0003</w:t>
            </w:r>
          </w:p>
        </w:tc>
      </w:tr>
      <w:tr>
        <w:tc>
          <w:tcPr>
            <w:tcW w:type="dxa" w:w="468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온도 구간별 잔차 편향이 감소할 것</w:t>
            </w:r>
          </w:p>
        </w:tc>
        <w:tc>
          <w:tcPr>
            <w:tcW w:type="dxa" w:w="468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충족 — 최대 편향 0.700 → 0.054</w:t>
            </w:r>
          </w:p>
        </w:tc>
      </w:tr>
      <w:tr>
        <w:tc>
          <w:tcPr>
            <w:tcW w:type="dxa" w:w="468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계산 구조가 단순하고 설명 가능할 것</w:t>
            </w:r>
          </w:p>
        </w:tc>
        <w:tc>
          <w:tcPr>
            <w:tcW w:type="dxa" w:w="468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충족 — 11개 항의 선형식, 계수로 영향 방향 설명 가능</w:t>
            </w:r>
          </w:p>
        </w:tc>
      </w:tr>
    </w:tbl>
    <w:p>
      <w:pPr>
        <w:spacing w:after="100" w:before="60" w:line="300"/>
        <w:jc w:val="left"/>
      </w:pPr>
      <w:r>
        <w:rPr>
          <w:rFonts w:ascii="맑은 고딕" w:cs="맑은 고딕" w:eastAsia="맑은 고딕" w:hAnsi="맑은 고딕"/>
          <w:b/>
          <w:bCs/>
          <w:color w:val="000000"/>
          <w:sz w:val="20"/>
          <w:szCs w:val="20"/>
        </w:rPr>
        <w:t xml:space="preserve">탑재 관점의 추가 판단 : </w:t>
      </w:r>
      <w:r>
        <w:rPr>
          <w:rFonts w:ascii="맑은 고딕" w:cs="맑은 고딕" w:eastAsia="맑은 고딕" w:hAnsi="맑은 고딕"/>
          <w:color w:val="000000"/>
          <w:sz w:val="20"/>
          <w:szCs w:val="20"/>
        </w:rPr>
        <w:t xml:space="preserve">개선 선형회귀는 곱셈과 덧셈만으로 예측값을 얻으므로 연산량과 모델 크기가 트리 계열보다 작다. 파생변수 두 개도 뺄셈과 max 연산 한 번씩이면 계산되고, 필요한 추가 입력은 이미 확보 중인 외기온뿐이다. 경로 탐색 과정에서 다수의 구간을 반복 계산해야 하는 내비게이션 특성상 이 단순성은 실질적인 이점이다.</w:t>
      </w:r>
    </w:p>
    <w:p>
      <w:r>
        <w:br w:type="page"/>
      </w:r>
    </w:p>
    <w:p>
      <w:pPr>
        <w:pStyle w:val="Heading2"/>
        <w:spacing w:after="100" w:before="220"/>
      </w:pPr>
      <w:r>
        <w:rPr>
          <w:rFonts w:ascii="맑은 고딕" w:cs="맑은 고딕" w:eastAsia="맑은 고딕" w:hAnsi="맑은 고딕"/>
          <w:b/>
          <w:bCs/>
          <w:color w:val="000000"/>
          <w:sz w:val="23"/>
          <w:szCs w:val="23"/>
        </w:rPr>
        <w:t xml:space="preserve">7.2 어떤 조건이 소비율을 좌우하는가</w:t>
      </w:r>
    </w:p>
    <w:p>
      <w:pPr>
        <w:spacing w:after="100" w:before="60" w:line="300"/>
        <w:jc w:val="left"/>
      </w:pPr>
      <w:r>
        <w:rPr>
          <w:rFonts w:ascii="맑은 고딕" w:cs="맑은 고딕" w:eastAsia="맑은 고딕" w:hAnsi="맑은 고딕"/>
          <w:color w:val="000000"/>
          <w:sz w:val="20"/>
          <w:szCs w:val="20"/>
        </w:rPr>
        <w:t xml:space="preserve">변수마다 단위와 범위가 달라 회귀계수의 절댓값을 그대로 비교할 수는 없다. 아래는 각 변수가 표준편차 1만큼 변할 때 예측값이 목표변수 표준편차 단위로 얼마나 변하는지를 계산한 표준화 영향도이다.</w:t>
      </w:r>
    </w:p>
    <w:tbl>
      <w:tblPr>
        <w:tblW w:type="dxa" w:w="9360"/>
        <w:tblBorders>
          <w:top w:val="single" w:color="808080" w:sz="4"/>
          <w:left w:val="single" w:color="808080" w:sz="4"/>
          <w:bottom w:val="single" w:color="808080" w:sz="4"/>
          <w:right w:val="single" w:color="808080" w:sz="4"/>
          <w:insideH w:val="single" w:color="B0B0B0" w:sz="2"/>
          <w:insideV w:val="single" w:color="B0B0B0" w:sz="2"/>
        </w:tblBorders>
      </w:tblPr>
      <w:tblGrid>
        <w:gridCol w:w="700"/>
        <w:gridCol w:w="2400"/>
        <w:gridCol w:w="1600"/>
        <w:gridCol w:w="4660"/>
      </w:tblGrid>
      <w:tr>
        <w:trPr>
          <w:tblHeader/>
        </w:trPr>
        <w:tc>
          <w:tcPr>
            <w:tcW w:type="dxa" w:w="7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순위</w:t>
            </w:r>
          </w:p>
        </w:tc>
        <w:tc>
          <w:tcPr>
            <w:tcW w:type="dxa" w:w="24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변수</w:t>
            </w:r>
          </w:p>
        </w:tc>
        <w:tc>
          <w:tcPr>
            <w:tcW w:type="dxa" w:w="16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표준화 영향도</w:t>
            </w:r>
          </w:p>
        </w:tc>
        <w:tc>
          <w:tcPr>
            <w:tcW w:type="dxa" w:w="466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해석</w:t>
            </w:r>
          </w:p>
        </w:tc>
      </w:tr>
      <w:tr>
        <w:tc>
          <w:tcPr>
            <w:tcW w:type="dxa" w:w="7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1</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road_grade_pct</w:t>
            </w:r>
          </w:p>
        </w:tc>
        <w:tc>
          <w:tcPr>
            <w:tcW w:type="dxa" w:w="16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+0.496</w:t>
            </w:r>
          </w:p>
        </w:tc>
        <w:tc>
          <w:tcPr>
            <w:tcW w:type="dxa" w:w="46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오르막 경사가 소비율을 가장 크게 끌어올린다</w:t>
            </w:r>
          </w:p>
        </w:tc>
      </w:tr>
      <w:tr>
        <w:tc>
          <w:tcPr>
            <w:tcW w:type="dxa" w:w="7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2</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payload_kg</w:t>
            </w:r>
          </w:p>
        </w:tc>
        <w:tc>
          <w:tcPr>
            <w:tcW w:type="dxa" w:w="16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+0.463</w:t>
            </w:r>
          </w:p>
        </w:tc>
        <w:tc>
          <w:tcPr>
            <w:tcW w:type="dxa" w:w="46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하중 증가가 그다음으로 큰 요인</w:t>
            </w:r>
          </w:p>
        </w:tc>
      </w:tr>
      <w:tr>
        <w:tc>
          <w:tcPr>
            <w:tcW w:type="dxa" w:w="7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3</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speed_kmh</w:t>
            </w:r>
          </w:p>
        </w:tc>
        <w:tc>
          <w:tcPr>
            <w:tcW w:type="dxa" w:w="16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+0.439</w:t>
            </w:r>
          </w:p>
        </w:tc>
        <w:tc>
          <w:tcPr>
            <w:tcW w:type="dxa" w:w="46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고속 주행일수록 소비율 증가</w:t>
            </w:r>
          </w:p>
        </w:tc>
      </w:tr>
      <w:tr>
        <w:tc>
          <w:tcPr>
            <w:tcW w:type="dxa" w:w="7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4</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hvac_power_kw</w:t>
            </w:r>
          </w:p>
        </w:tc>
        <w:tc>
          <w:tcPr>
            <w:tcW w:type="dxa" w:w="16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+0.345</w:t>
            </w:r>
          </w:p>
        </w:tc>
        <w:tc>
          <w:tcPr>
            <w:tcW w:type="dxa" w:w="46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냉난방 부하의 기여가 뚜렷하다</w:t>
            </w:r>
          </w:p>
        </w:tc>
      </w:tr>
      <w:tr>
        <w:tc>
          <w:tcPr>
            <w:tcW w:type="dxa" w:w="7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5</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driving_style_index</w:t>
            </w:r>
          </w:p>
        </w:tc>
        <w:tc>
          <w:tcPr>
            <w:tcW w:type="dxa" w:w="16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+0.269</w:t>
            </w:r>
          </w:p>
        </w:tc>
        <w:tc>
          <w:tcPr>
            <w:tcW w:type="dxa" w:w="46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급가감속 성향이 클수록 증가</w:t>
            </w:r>
          </w:p>
        </w:tc>
      </w:tr>
      <w:tr>
        <w:tc>
          <w:tcPr>
            <w:tcW w:type="dxa" w:w="7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6</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cold_penalty</w:t>
            </w:r>
          </w:p>
        </w:tc>
        <w:tc>
          <w:tcPr>
            <w:tcW w:type="dxa" w:w="16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+0.228</w:t>
            </w:r>
          </w:p>
        </w:tc>
        <w:tc>
          <w:tcPr>
            <w:tcW w:type="dxa" w:w="46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저온 구간 추가 소비를 설명하는 파생변수</w:t>
            </w:r>
          </w:p>
        </w:tc>
      </w:tr>
      <w:tr>
        <w:tc>
          <w:tcPr>
            <w:tcW w:type="dxa" w:w="7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7</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trip_distance_km</w:t>
            </w:r>
          </w:p>
        </w:tc>
        <w:tc>
          <w:tcPr>
            <w:tcW w:type="dxa" w:w="16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+0.151</w:t>
            </w:r>
          </w:p>
        </w:tc>
        <w:tc>
          <w:tcPr>
            <w:tcW w:type="dxa" w:w="46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장거리일수록 약한 증가</w:t>
            </w:r>
          </w:p>
        </w:tc>
      </w:tr>
      <w:tr>
        <w:tc>
          <w:tcPr>
            <w:tcW w:type="dxa" w:w="7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8</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tire_pressure_bar</w:t>
            </w:r>
          </w:p>
        </w:tc>
        <w:tc>
          <w:tcPr>
            <w:tcW w:type="dxa" w:w="16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-0.090</w:t>
            </w:r>
          </w:p>
        </w:tc>
        <w:tc>
          <w:tcPr>
            <w:tcW w:type="dxa" w:w="46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공기압이 높을수록 소폭 감소</w:t>
            </w:r>
          </w:p>
        </w:tc>
      </w:tr>
      <w:tr>
        <w:tc>
          <w:tcPr>
            <w:tcW w:type="dxa" w:w="7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9</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battery_temp_C</w:t>
            </w:r>
          </w:p>
        </w:tc>
        <w:tc>
          <w:tcPr>
            <w:tcW w:type="dxa" w:w="16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-0.068</w:t>
            </w:r>
          </w:p>
        </w:tc>
        <w:tc>
          <w:tcPr>
            <w:tcW w:type="dxa" w:w="46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영향이 작다</w:t>
            </w:r>
          </w:p>
        </w:tc>
      </w:tr>
      <w:tr>
        <w:tc>
          <w:tcPr>
            <w:tcW w:type="dxa" w:w="7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10</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hot_penalty</w:t>
            </w:r>
          </w:p>
        </w:tc>
        <w:tc>
          <w:tcPr>
            <w:tcW w:type="dxa" w:w="16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+0.058</w:t>
            </w:r>
          </w:p>
        </w:tc>
        <w:tc>
          <w:tcPr>
            <w:tcW w:type="dxa" w:w="46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고온 구간 추가 소비, 저온보다는 작다</w:t>
            </w:r>
          </w:p>
        </w:tc>
      </w:tr>
      <w:tr>
        <w:tc>
          <w:tcPr>
            <w:tcW w:type="dxa" w:w="7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11</w:t>
            </w:r>
          </w:p>
        </w:tc>
        <w:tc>
          <w:tcPr>
            <w:tcW w:type="dxa" w:w="24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ambient_temp_C</w:t>
            </w:r>
          </w:p>
        </w:tc>
        <w:tc>
          <w:tcPr>
            <w:tcW w:type="dxa" w:w="16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-0.015</w:t>
            </w:r>
          </w:p>
        </w:tc>
        <w:tc>
          <w:tcPr>
            <w:tcW w:type="dxa" w:w="46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파생변수가 온도 효과를 흡수해 잔여 영향이 거의 없다</w:t>
            </w:r>
          </w:p>
        </w:tc>
      </w:tr>
    </w:tbl>
    <w:p>
      <w:pPr>
        <w:spacing w:after="100" w:before="60" w:line="300"/>
        <w:jc w:val="left"/>
      </w:pPr>
      <w:r>
        <w:rPr>
          <w:rFonts w:ascii="맑은 고딕" w:cs="맑은 고딕" w:eastAsia="맑은 고딕" w:hAnsi="맑은 고딕"/>
          <w:b/>
          <w:bCs/>
          <w:color w:val="000000"/>
          <w:sz w:val="20"/>
          <w:szCs w:val="20"/>
        </w:rPr>
        <w:t xml:space="preserve">해석 : </w:t>
      </w:r>
      <w:r>
        <w:rPr>
          <w:rFonts w:ascii="맑은 고딕" w:cs="맑은 고딕" w:eastAsia="맑은 고딕" w:hAnsi="맑은 고딕"/>
          <w:color w:val="000000"/>
          <w:sz w:val="20"/>
          <w:szCs w:val="20"/>
        </w:rPr>
        <w:t xml:space="preserve">상위 5개 요인은 EDA의 상관관계 순위와 일치하며, 주행 저항(경사·하중·속도)과 부가 부하(공조·운전 습관)라는 두 축으로 정리된다. </w:t>
      </w:r>
      <w:r>
        <w:rPr>
          <w:rFonts w:ascii="맑은 고딕" w:cs="맑은 고딕" w:eastAsia="맑은 고딕" w:hAnsi="맑은 고딕"/>
          <w:b/>
          <w:bCs/>
          <w:color w:val="000000"/>
          <w:sz w:val="20"/>
          <w:szCs w:val="20"/>
        </w:rPr>
        <w:t xml:space="preserve">cold_penalty가 6위에 오른 점이 특히 중요하다</w:t>
      </w:r>
      <w:r>
        <w:rPr>
          <w:rFonts w:ascii="맑은 고딕" w:cs="맑은 고딕" w:eastAsia="맑은 고딕" w:hAnsi="맑은 고딕"/>
          <w:color w:val="000000"/>
          <w:sz w:val="20"/>
          <w:szCs w:val="20"/>
        </w:rPr>
        <w:t xml:space="preserve">. 원래 외기온의 상관계수는 -0.155로 하위권이었지만, 곡선 관계를 분리해 표현하자 상위권 수준의 설명력을 가진 요인으로 드러났다. 반대로 ambient_temp_C의 잔여 영향도가 -0.015로 줄어든 것은 온도 효과가 파생변수로 옮겨 갔음을 보여준다.</w:t>
      </w:r>
    </w:p>
    <w:p>
      <w:pPr>
        <w:spacing w:after="100" w:before="60" w:line="300"/>
        <w:jc w:val="left"/>
      </w:pPr>
      <w:r>
        <w:rPr>
          <w:rFonts w:ascii="맑은 고딕" w:cs="맑은 고딕" w:eastAsia="맑은 고딕" w:hAnsi="맑은 고딕"/>
          <w:color w:val="000000"/>
          <w:sz w:val="20"/>
          <w:szCs w:val="20"/>
        </w:rPr>
        <w:t xml:space="preserve">실무적으로는 저온의 영향(0.228)이 고온의 영향(0.058)보다 약 4배 크다는 점이 의미가 있다. 겨울철 경로 안내에서 에너지 여유를 더 크게 잡아야 한다는 근거가 된다.</w:t>
      </w:r>
    </w:p>
    <w:p>
      <w:r>
        <w:br w:type="page"/>
      </w:r>
    </w:p>
    <w:p>
      <w:pPr>
        <w:pStyle w:val="Heading1"/>
        <w:spacing w:after="140" w:before="320"/>
      </w:pPr>
      <w:r>
        <w:rPr>
          <w:rFonts w:ascii="맑은 고딕" w:cs="맑은 고딕" w:eastAsia="맑은 고딕" w:hAnsi="맑은 고딕"/>
          <w:b/>
          <w:bCs/>
          <w:color w:val="000000"/>
          <w:sz w:val="28"/>
          <w:szCs w:val="28"/>
        </w:rPr>
        <w:t xml:space="preserve">8. 업무 활용 — 경로별 에너지 비용 산출</w:t>
      </w:r>
    </w:p>
    <w:p>
      <w:pPr>
        <w:pStyle w:val="Heading2"/>
        <w:spacing w:after="100" w:before="220"/>
      </w:pPr>
      <w:r>
        <w:rPr>
          <w:rFonts w:ascii="맑은 고딕" w:cs="맑은 고딕" w:eastAsia="맑은 고딕" w:hAnsi="맑은 고딕"/>
          <w:b/>
          <w:bCs/>
          <w:color w:val="000000"/>
          <w:sz w:val="23"/>
          <w:szCs w:val="23"/>
        </w:rPr>
        <w:t xml:space="preserve">8.1 단일 조건 예측 검증</w:t>
      </w:r>
    </w:p>
    <w:p>
      <w:pPr>
        <w:spacing w:after="100" w:before="60" w:line="300"/>
        <w:jc w:val="left"/>
      </w:pPr>
      <w:r>
        <w:rPr>
          <w:rFonts w:ascii="맑은 고딕" w:cs="맑은 고딕" w:eastAsia="맑은 고딕" w:hAnsi="맑은 고딕"/>
          <w:color w:val="000000"/>
          <w:sz w:val="20"/>
          <w:szCs w:val="20"/>
        </w:rPr>
        <w:t xml:space="preserve">먼저 테스트 데이터 한 행으로 예측식과 환산식이 의도대로 동작하는지 확인했다. 실제 소비율 26.01 kWh/100km에 대해 기준 모델은 26.40, 개선 모델은 25.95를 예측해 개선 모델의 오차가 더 작았다. 이 조건의 주행거리 176.9km를 환산식에 넣으면 예상 소비전력량은 45.91kWh이며, 사용 가능 배터리 60kWh·출발 SOC 80% 가정에서 도착 SOC는 3.5%가 된다.</w:t>
      </w:r>
    </w:p>
    <w:p>
      <w:pPr>
        <w:spacing w:after="100" w:before="60" w:line="300"/>
        <w:jc w:val="left"/>
      </w:pPr>
      <w:r>
        <w:rPr>
          <w:rFonts w:ascii="맑은 고딕" w:cs="맑은 고딕" w:eastAsia="맑은 고딕" w:hAnsi="맑은 고딕"/>
          <w:color w:val="000000"/>
          <w:sz w:val="20"/>
          <w:szCs w:val="20"/>
        </w:rPr>
        <w:t xml:space="preserve">이 단계는 계산 구조의 검증일 뿐이며, 실제 내비게이션에서는 소비율의 실제값을 미리 알 수 없다. 따라서 경로 안내 기능은 아래와 같이 예측값만으로 후보를 비교하는 형태여야 한다.</w:t>
      </w:r>
    </w:p>
    <w:p>
      <w:pPr>
        <w:pStyle w:val="Heading2"/>
        <w:spacing w:after="100" w:before="220"/>
      </w:pPr>
      <w:r>
        <w:rPr>
          <w:rFonts w:ascii="맑은 고딕" w:cs="맑은 고딕" w:eastAsia="맑은 고딕" w:hAnsi="맑은 고딕"/>
          <w:b/>
          <w:bCs/>
          <w:color w:val="000000"/>
          <w:sz w:val="23"/>
          <w:szCs w:val="23"/>
        </w:rPr>
        <w:t xml:space="preserve">8.2 후보 경로 비교 시뮬레이션</w:t>
      </w:r>
    </w:p>
    <w:p>
      <w:pPr>
        <w:spacing w:after="100" w:before="60" w:line="300"/>
        <w:jc w:val="left"/>
      </w:pPr>
      <w:r>
        <w:rPr>
          <w:rFonts w:ascii="맑은 고딕" w:cs="맑은 고딕" w:eastAsia="맑은 고딕" w:hAnsi="맑은 고딕"/>
          <w:color w:val="000000"/>
          <w:sz w:val="20"/>
          <w:szCs w:val="20"/>
        </w:rPr>
        <w:t xml:space="preserve">동일한 출발지·목적지를 잇는 3개 후보 경로를 각각 3개 구간으로 나누고, 경로에 따라 달라지는 구간 거리·예상 속도·도로 경사만 다르게 설정했다. 같은 시점에 출발하므로 하중 250kg, 외기온 -5°C, 공조 3.0kW, 배터리 온도 25°C, 운전 스타일 0.5, 공기압 2.4bar는 세 경로에 동일하게 적용했다. 출발 SOC 80%, 사용 가능 배터리 60kWh, 최소 안전 도착 SOC 10%를 가정했다.</w:t>
      </w:r>
    </w:p>
    <w:p>
      <w:pPr>
        <w:spacing w:after="100" w:before="60" w:line="300"/>
        <w:jc w:val="left"/>
      </w:pPr>
      <w:r>
        <w:rPr>
          <w:rFonts w:ascii="맑은 고딕" w:cs="맑은 고딕" w:eastAsia="맑은 고딕" w:hAnsi="맑은 고딕"/>
          <w:color w:val="000000"/>
          <w:sz w:val="20"/>
          <w:szCs w:val="20"/>
        </w:rPr>
        <w:t xml:space="preserve">세 경로의 주행 속도는 90~120km/h로 크게 다르지 않게 두고, 경로 C만 경사가 완만한 우회 노선으로 설정했다. </w:t>
      </w:r>
      <w:r>
        <w:rPr>
          <w:rFonts w:ascii="맑은 고딕" w:cs="맑은 고딕" w:eastAsia="맑은 고딕" w:hAnsi="맑은 고딕"/>
          <w:b/>
          <w:bCs/>
          <w:color w:val="000000"/>
          <w:sz w:val="20"/>
          <w:szCs w:val="20"/>
        </w:rPr>
        <w:t xml:space="preserve">속도를 낮춰 에너지를 아끼면 소요 시간이 그만큼 늘어나므로, 절약의 원인을 속도가 아니라 도로 경사에 두기 위한 설계다</w:t>
      </w:r>
      <w:r>
        <w:rPr>
          <w:rFonts w:ascii="맑은 고딕" w:cs="맑은 고딕" w:eastAsia="맑은 고딕" w:hAnsi="맑은 고딕"/>
          <w:color w:val="000000"/>
          <w:sz w:val="20"/>
          <w:szCs w:val="20"/>
        </w:rPr>
        <w:t xml:space="preserve">.</w:t>
      </w:r>
    </w:p>
    <w:tbl>
      <w:tblPr>
        <w:tblW w:type="dxa" w:w="9360"/>
        <w:tblBorders>
          <w:top w:val="single" w:color="808080" w:sz="4"/>
          <w:left w:val="single" w:color="808080" w:sz="4"/>
          <w:bottom w:val="single" w:color="808080" w:sz="4"/>
          <w:right w:val="single" w:color="808080" w:sz="4"/>
          <w:insideH w:val="single" w:color="B0B0B0" w:sz="2"/>
          <w:insideV w:val="single" w:color="B0B0B0" w:sz="2"/>
        </w:tblBorders>
      </w:tblPr>
      <w:tblGrid>
        <w:gridCol w:w="1660"/>
        <w:gridCol w:w="1100"/>
        <w:gridCol w:w="1240"/>
        <w:gridCol w:w="1360"/>
        <w:gridCol w:w="1800"/>
        <w:gridCol w:w="1100"/>
        <w:gridCol w:w="1100"/>
      </w:tblGrid>
      <w:tr>
        <w:trPr>
          <w:tblHeader/>
        </w:trPr>
        <w:tc>
          <w:tcPr>
            <w:tcW w:type="dxa" w:w="166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경로</w:t>
            </w:r>
          </w:p>
        </w:tc>
        <w:tc>
          <w:tcPr>
            <w:tcW w:type="dxa" w:w="11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총 거리</w:t>
            </w:r>
          </w:p>
        </w:tc>
        <w:tc>
          <w:tcPr>
            <w:tcW w:type="dxa" w:w="124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예상 시간</w:t>
            </w:r>
          </w:p>
        </w:tc>
        <w:tc>
          <w:tcPr>
            <w:tcW w:type="dxa" w:w="136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평균 소비율</w:t>
            </w:r>
          </w:p>
        </w:tc>
        <w:tc>
          <w:tcPr>
            <w:tcW w:type="dxa" w:w="18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예상 소비전력량</w:t>
            </w:r>
          </w:p>
        </w:tc>
        <w:tc>
          <w:tcPr>
            <w:tcW w:type="dxa" w:w="11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도착 SOC</w:t>
            </w:r>
          </w:p>
        </w:tc>
        <w:tc>
          <w:tcPr>
            <w:tcW w:type="dxa" w:w="11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안전 판정</w:t>
            </w:r>
          </w:p>
        </w:tc>
      </w:tr>
      <w:tr>
        <w:tc>
          <w:tcPr>
            <w:tcW w:type="dxa" w:w="16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A 최단거리</w:t>
            </w:r>
          </w:p>
        </w:tc>
        <w:tc>
          <w:tcPr>
            <w:tcW w:type="dxa" w:w="11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148 km</w:t>
            </w:r>
          </w:p>
        </w:tc>
        <w:tc>
          <w:tcPr>
            <w:tcW w:type="dxa" w:w="124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94.30 분</w:t>
            </w:r>
          </w:p>
        </w:tc>
        <w:tc>
          <w:tcPr>
            <w:tcW w:type="dxa" w:w="136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27.53</w:t>
            </w:r>
          </w:p>
        </w:tc>
        <w:tc>
          <w:tcPr>
            <w:tcW w:type="dxa" w:w="18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40.74 kWh</w:t>
            </w:r>
          </w:p>
        </w:tc>
        <w:tc>
          <w:tcPr>
            <w:tcW w:type="dxa" w:w="11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12.10 %</w:t>
            </w:r>
          </w:p>
        </w:tc>
        <w:tc>
          <w:tcPr>
            <w:tcW w:type="dxa" w:w="11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충족</w:t>
            </w:r>
          </w:p>
        </w:tc>
      </w:tr>
      <w:tr>
        <w:tc>
          <w:tcPr>
            <w:tcW w:type="dxa" w:w="16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B 고속도로</w:t>
            </w:r>
          </w:p>
        </w:tc>
        <w:tc>
          <w:tcPr>
            <w:tcW w:type="dxa" w:w="11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166 km</w:t>
            </w:r>
          </w:p>
        </w:tc>
        <w:tc>
          <w:tcPr>
            <w:tcW w:type="dxa" w:w="124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86.58 분</w:t>
            </w:r>
          </w:p>
        </w:tc>
        <w:tc>
          <w:tcPr>
            <w:tcW w:type="dxa" w:w="136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28.01</w:t>
            </w:r>
          </w:p>
        </w:tc>
        <w:tc>
          <w:tcPr>
            <w:tcW w:type="dxa" w:w="18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46.50 kWh</w:t>
            </w:r>
          </w:p>
        </w:tc>
        <w:tc>
          <w:tcPr>
            <w:tcW w:type="dxa" w:w="1100"/>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2.51 %</w:t>
            </w:r>
          </w:p>
        </w:tc>
        <w:tc>
          <w:tcPr>
            <w:tcW w:type="dxa" w:w="1100"/>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미달</w:t>
            </w:r>
          </w:p>
        </w:tc>
      </w:tr>
      <w:tr>
        <w:tc>
          <w:tcPr>
            <w:tcW w:type="dxa" w:w="1660"/>
            <w:shd w:fill="F2F2F2" w:color="auto" w:val="clear"/>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C 완만 우회</w:t>
            </w:r>
          </w:p>
        </w:tc>
        <w:tc>
          <w:tcPr>
            <w:tcW w:type="dxa" w:w="1100"/>
            <w:shd w:fill="F2F2F2"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151 km</w:t>
            </w:r>
          </w:p>
        </w:tc>
        <w:tc>
          <w:tcPr>
            <w:tcW w:type="dxa" w:w="1240"/>
            <w:shd w:fill="F2F2F2"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99.93 분</w:t>
            </w:r>
          </w:p>
        </w:tc>
        <w:tc>
          <w:tcPr>
            <w:tcW w:type="dxa" w:w="1360"/>
            <w:shd w:fill="F2F2F2"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26.02</w:t>
            </w:r>
          </w:p>
        </w:tc>
        <w:tc>
          <w:tcPr>
            <w:tcW w:type="dxa" w:w="1800"/>
            <w:shd w:fill="F2F2F2"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39.29 kWh</w:t>
            </w:r>
          </w:p>
        </w:tc>
        <w:tc>
          <w:tcPr>
            <w:tcW w:type="dxa" w:w="1100"/>
            <w:shd w:fill="F2F2F2" w:color="auto" w:val="clear"/>
            <w:tcMar>
              <w:top w:type="dxa" w:w="70"/>
              <w:left w:type="dxa" w:w="110"/>
              <w:bottom w:type="dxa" w:w="70"/>
              <w:right w:type="dxa" w:w="110"/>
            </w:tcMar>
          </w:tcPr>
          <w:p>
            <w:pPr>
              <w:spacing w:after="0" w:before="0" w:line="260"/>
              <w:jc w:val="right"/>
            </w:pPr>
            <w:r>
              <w:rPr>
                <w:rFonts w:ascii="맑은 고딕" w:cs="맑은 고딕" w:eastAsia="맑은 고딕" w:hAnsi="맑은 고딕"/>
                <w:b w:val="false"/>
                <w:bCs w:val="false"/>
                <w:sz w:val="18"/>
                <w:szCs w:val="18"/>
              </w:rPr>
              <w:t xml:space="preserve">14.52 %</w:t>
            </w:r>
          </w:p>
        </w:tc>
        <w:tc>
          <w:tcPr>
            <w:tcW w:type="dxa" w:w="1100"/>
            <w:shd w:fill="F2F2F2"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val="false"/>
                <w:bCs w:val="false"/>
                <w:sz w:val="18"/>
                <w:szCs w:val="18"/>
              </w:rPr>
              <w:t xml:space="preserve">충족 · 추천</w:t>
            </w:r>
          </w:p>
        </w:tc>
      </w:tr>
    </w:tbl>
    <w:p>
      <w:pPr>
        <w:spacing w:after="60" w:before="160" w:line="240" w:lineRule="auto"/>
        <w:jc w:val="center"/>
      </w:pPr>
      <w:r>
        <w:drawing>
          <wp:inline distT="0" distB="0" distL="0" distR="0">
            <wp:extent cx="5715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38350"/>
                    </a:xfrm>
                    <a:prstGeom prst="rect">
                      <a:avLst/>
                    </a:prstGeom>
                  </pic:spPr>
                </pic:pic>
              </a:graphicData>
            </a:graphic>
          </wp:inline>
        </w:drawing>
      </w:r>
    </w:p>
    <w:p>
      <w:pPr>
        <w:spacing w:after="180" w:before="0" w:line="240" w:lineRule="auto"/>
        <w:jc w:val="center"/>
      </w:pPr>
      <w:r>
        <w:rPr>
          <w:rFonts w:ascii="맑은 고딕" w:cs="맑은 고딕" w:eastAsia="맑은 고딕" w:hAnsi="맑은 고딕"/>
          <w:color w:val="444444"/>
          <w:sz w:val="17"/>
          <w:szCs w:val="17"/>
        </w:rPr>
        <w:t xml:space="preserve">[그림 3] 경로별 예상 소비전력량(좌)과 도착 SOC 및 안전 기준(우)</w:t>
      </w:r>
    </w:p>
    <w:p>
      <w:pPr>
        <w:spacing w:after="100" w:before="60" w:line="300"/>
        <w:jc w:val="left"/>
      </w:pPr>
      <w:r>
        <w:rPr>
          <w:rFonts w:ascii="맑은 고딕" w:cs="맑은 고딕" w:eastAsia="맑은 고딕" w:hAnsi="맑은 고딕"/>
          <w:b/>
          <w:bCs/>
          <w:color w:val="000000"/>
          <w:sz w:val="20"/>
          <w:szCs w:val="20"/>
        </w:rPr>
        <w:t xml:space="preserve">해석 : </w:t>
      </w:r>
      <w:r>
        <w:rPr>
          <w:rFonts w:ascii="맑은 고딕" w:cs="맑은 고딕" w:eastAsia="맑은 고딕" w:hAnsi="맑은 고딕"/>
          <w:color w:val="000000"/>
          <w:sz w:val="20"/>
          <w:szCs w:val="20"/>
        </w:rPr>
        <w:t xml:space="preserve">세 경로 중 어느 것도 “가장 짧으니 가장 적게 쓴다”는 직관대로 움직이지 않았다. 최단거리 경로 A는 148km로 가장 짧지만 3~4% 경사의 구릉지를 지나 소비전력량이 40.74kWh다. 최단시간 경로 B는 86.58분으로 가장 빠르지만 110~120km/h 주행 탓에 46.50kWh를 소비해 도착 SOC가 2.51%까지 떨어져 </w:t>
      </w:r>
      <w:r>
        <w:rPr>
          <w:rFonts w:ascii="맑은 고딕" w:cs="맑은 고딕" w:eastAsia="맑은 고딕" w:hAnsi="맑은 고딕"/>
          <w:b/>
          <w:bCs/>
          <w:color w:val="000000"/>
          <w:sz w:val="20"/>
          <w:szCs w:val="20"/>
        </w:rPr>
        <w:t xml:space="preserve">안전 기준 10% 미달로 추천 후보에서 제외</w:t>
      </w:r>
      <w:r>
        <w:rPr>
          <w:rFonts w:ascii="맑은 고딕" w:cs="맑은 고딕" w:eastAsia="맑은 고딕" w:hAnsi="맑은 고딕"/>
          <w:color w:val="000000"/>
          <w:sz w:val="20"/>
          <w:szCs w:val="20"/>
        </w:rPr>
        <w:t xml:space="preserve">된다. 경로 C는 A보다 3km 길지만 경사가 0~0.5%로 완만해 39.29kWh만 사용하며, 속도는 90~92km/h로 A와 비슷하다. 도착 SOC는 14.52%로 가장 여유롭다.</w:t>
      </w:r>
    </w:p>
    <w:p>
      <w:pPr>
        <w:spacing w:after="100" w:before="60" w:line="300"/>
        <w:jc w:val="left"/>
      </w:pPr>
      <w:r>
        <w:rPr>
          <w:rFonts w:ascii="맑은 고딕" w:cs="맑은 고딕" w:eastAsia="맑은 고딕" w:hAnsi="맑은 고딕"/>
          <w:color w:val="000000"/>
          <w:sz w:val="20"/>
          <w:szCs w:val="20"/>
        </w:rPr>
        <w:t xml:space="preserve">즉 경로 C는 A 대비 에너지 1.45kWh를 아끼고 도착 SOC를 2.42%p 높이는 대신 </w:t>
      </w:r>
      <w:r>
        <w:rPr>
          <w:rFonts w:ascii="맑은 고딕" w:cs="맑은 고딕" w:eastAsia="맑은 고딕" w:hAnsi="맑은 고딕"/>
          <w:b/>
          <w:bCs/>
          <w:color w:val="000000"/>
          <w:sz w:val="20"/>
          <w:szCs w:val="20"/>
        </w:rPr>
        <w:t xml:space="preserve">약 5.6분</w:t>
      </w:r>
      <w:r>
        <w:rPr>
          <w:rFonts w:ascii="맑은 고딕" w:cs="맑은 고딕" w:eastAsia="맑은 고딕" w:hAnsi="맑은 고딕"/>
          <w:color w:val="000000"/>
          <w:sz w:val="20"/>
          <w:szCs w:val="20"/>
        </w:rPr>
        <w:t xml:space="preserve">을 더 쓴다. 최단시간 경로 B와 비교하면 13.4분이 더 걸리는 대신 7.21kWh를 아끼고 도착 SOC가 12.01%p 높다. 이 교환 관계 자체가 운전자에게 제공할 정보이며, 모델은 그 판단에 필요한 수치를 만들어낸다.</w:t>
      </w:r>
    </w:p>
    <w:p>
      <w:pPr>
        <w:pBdr>
          <w:top w:val="single" w:color="888888" w:sz="4" w:space="8"/>
          <w:left w:val="single" w:color="888888" w:sz="4" w:space="10"/>
          <w:bottom w:val="single" w:color="888888" w:sz="4" w:space="8"/>
          <w:right w:val="single" w:color="888888" w:sz="4" w:space="10"/>
        </w:pBdr>
        <w:spacing w:after="160" w:before="140" w:line="300"/>
        <w:ind w:left="120" w:right="120"/>
      </w:pPr>
      <w:r>
        <w:rPr>
          <w:rFonts w:ascii="맑은 고딕" w:cs="맑은 고딕" w:eastAsia="맑은 고딕" w:hAnsi="맑은 고딕"/>
          <w:b/>
          <w:bCs/>
          <w:sz w:val="20"/>
          <w:szCs w:val="20"/>
        </w:rPr>
        <w:t xml:space="preserve">업무 판단 : </w:t>
      </w:r>
      <w:r>
        <w:rPr>
          <w:rFonts w:ascii="맑은 고딕" w:cs="맑은 고딕" w:eastAsia="맑은 고딕" w:hAnsi="맑은 고딕"/>
          <w:sz w:val="20"/>
          <w:szCs w:val="20"/>
        </w:rPr>
        <w:t xml:space="preserve">최소 에너지 경로가 항상 최적 경로인 것은 아니다. 따라서 서비스는 최단시간·최단거리·에너지 우선 경로를 함께 제시하고, 도착 SOC가 안전 기준에 미달하는 경로에는 충전 경유 안내를 붙이는 형태가 적절하다.</w:t>
      </w:r>
    </w:p>
    <w:p>
      <w:pPr>
        <w:pStyle w:val="Heading2"/>
        <w:spacing w:after="100" w:before="220"/>
      </w:pPr>
      <w:r>
        <w:rPr>
          <w:rFonts w:ascii="맑은 고딕" w:cs="맑은 고딕" w:eastAsia="맑은 고딕" w:hAnsi="맑은 고딕"/>
          <w:b/>
          <w:bCs/>
          <w:color w:val="000000"/>
          <w:sz w:val="23"/>
          <w:szCs w:val="23"/>
        </w:rPr>
        <w:t xml:space="preserve">8.3 예상 활용 시나리오</w:t>
      </w:r>
    </w:p>
    <w:p>
      <w:pPr>
        <w:spacing w:after="60" w:before="30" w:line="290"/>
        <w:ind w:left="400" w:hanging="260"/>
      </w:pPr>
      <w:r>
        <w:rPr>
          <w:rFonts w:ascii="맑은 고딕" w:cs="맑은 고딕" w:eastAsia="맑은 고딕" w:hAnsi="맑은 고딕"/>
          <w:b/>
          <w:bCs/>
          <w:sz w:val="20"/>
          <w:szCs w:val="20"/>
        </w:rPr>
        <w:t xml:space="preserve">1. </w:t>
      </w:r>
      <w:r>
        <w:rPr>
          <w:rFonts w:ascii="맑은 고딕" w:cs="맑은 고딕" w:eastAsia="맑은 고딕" w:hAnsi="맑은 고딕"/>
          <w:sz w:val="20"/>
          <w:szCs w:val="20"/>
        </w:rPr>
        <w:t xml:space="preserve">주행가능거리 안내 — 고정 공인 전비 대신 현재 조건 기반 예측 소비율로 잔여 주행가능거리를 계산한다.</w:t>
      </w:r>
    </w:p>
    <w:p>
      <w:pPr>
        <w:spacing w:after="60" w:before="30" w:line="290"/>
        <w:ind w:left="400" w:hanging="260"/>
      </w:pPr>
      <w:r>
        <w:rPr>
          <w:rFonts w:ascii="맑은 고딕" w:cs="맑은 고딕" w:eastAsia="맑은 고딕" w:hAnsi="맑은 고딕"/>
          <w:b/>
          <w:bCs/>
          <w:sz w:val="20"/>
          <w:szCs w:val="20"/>
        </w:rPr>
        <w:t xml:space="preserve">2. </w:t>
      </w:r>
      <w:r>
        <w:rPr>
          <w:rFonts w:ascii="맑은 고딕" w:cs="맑은 고딕" w:eastAsia="맑은 고딕" w:hAnsi="맑은 고딕"/>
          <w:sz w:val="20"/>
          <w:szCs w:val="20"/>
        </w:rPr>
        <w:t xml:space="preserve">충전 계획 — 도착 SOC가 안전 기준 미만인 경로에 대해 경유 충전 필요 여부와 시점을 판단한다.</w:t>
      </w:r>
    </w:p>
    <w:p>
      <w:pPr>
        <w:spacing w:after="60" w:before="30" w:line="290"/>
        <w:ind w:left="400" w:hanging="260"/>
      </w:pPr>
      <w:r>
        <w:rPr>
          <w:rFonts w:ascii="맑은 고딕" w:cs="맑은 고딕" w:eastAsia="맑은 고딕" w:hAnsi="맑은 고딕"/>
          <w:b/>
          <w:bCs/>
          <w:sz w:val="20"/>
          <w:szCs w:val="20"/>
        </w:rPr>
        <w:t xml:space="preserve">3. </w:t>
      </w:r>
      <w:r>
        <w:rPr>
          <w:rFonts w:ascii="맑은 고딕" w:cs="맑은 고딕" w:eastAsia="맑은 고딕" w:hAnsi="맑은 고딕"/>
          <w:sz w:val="20"/>
          <w:szCs w:val="20"/>
        </w:rPr>
        <w:t xml:space="preserve">에너지 우선 경로 안내 — 경로 후보별 예상 소비전력량을 비교해 에너지 관점의 선택지를 추가 제공한다.</w:t>
      </w:r>
    </w:p>
    <w:p>
      <w:pPr>
        <w:spacing w:after="60" w:before="30" w:line="290"/>
        <w:ind w:left="400" w:hanging="260"/>
      </w:pPr>
      <w:r>
        <w:rPr>
          <w:rFonts w:ascii="맑은 고딕" w:cs="맑은 고딕" w:eastAsia="맑은 고딕" w:hAnsi="맑은 고딕"/>
          <w:b/>
          <w:bCs/>
          <w:sz w:val="20"/>
          <w:szCs w:val="20"/>
        </w:rPr>
        <w:t xml:space="preserve">4. </w:t>
      </w:r>
      <w:r>
        <w:rPr>
          <w:rFonts w:ascii="맑은 고딕" w:cs="맑은 고딕" w:eastAsia="맑은 고딕" w:hAnsi="맑은 고딕"/>
          <w:sz w:val="20"/>
          <w:szCs w:val="20"/>
        </w:rPr>
        <w:t xml:space="preserve">운영비 추정 — 예상 소비전력량에 충전 단가를 곱해 경로별 예상 전기요금을 사전 제시한다.</w:t>
      </w:r>
    </w:p>
    <w:p>
      <w:pPr>
        <w:pStyle w:val="Heading1"/>
        <w:spacing w:after="140" w:before="320"/>
      </w:pPr>
      <w:r>
        <w:rPr>
          <w:rFonts w:ascii="맑은 고딕" w:cs="맑은 고딕" w:eastAsia="맑은 고딕" w:hAnsi="맑은 고딕"/>
          <w:b/>
          <w:bCs/>
          <w:color w:val="000000"/>
          <w:sz w:val="28"/>
          <w:szCs w:val="28"/>
        </w:rPr>
        <w:t xml:space="preserve">9. 한계</w:t>
      </w:r>
    </w:p>
    <w:tbl>
      <w:tblPr>
        <w:tblW w:type="dxa" w:w="9360"/>
        <w:tblBorders>
          <w:top w:val="single" w:color="808080" w:sz="4"/>
          <w:left w:val="single" w:color="808080" w:sz="4"/>
          <w:bottom w:val="single" w:color="808080" w:sz="4"/>
          <w:right w:val="single" w:color="808080" w:sz="4"/>
          <w:insideH w:val="single" w:color="B0B0B0" w:sz="2"/>
          <w:insideV w:val="single" w:color="B0B0B0" w:sz="2"/>
        </w:tblBorders>
      </w:tblPr>
      <w:tblGrid>
        <w:gridCol w:w="2200"/>
        <w:gridCol w:w="7160"/>
      </w:tblGrid>
      <w:tr>
        <w:trPr>
          <w:tblHeader/>
        </w:trPr>
        <w:tc>
          <w:tcPr>
            <w:tcW w:type="dxa" w:w="220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한계</w:t>
            </w:r>
          </w:p>
        </w:tc>
        <w:tc>
          <w:tcPr>
            <w:tcW w:type="dxa" w:w="7160"/>
            <w:shd w:fill="E8E8E8" w:color="auto" w:val="clear"/>
            <w:tcMar>
              <w:top w:type="dxa" w:w="70"/>
              <w:left w:type="dxa" w:w="110"/>
              <w:bottom w:type="dxa" w:w="70"/>
              <w:right w:type="dxa" w:w="110"/>
            </w:tcMar>
          </w:tcPr>
          <w:p>
            <w:pPr>
              <w:spacing w:after="0" w:before="0" w:line="260"/>
              <w:jc w:val="center"/>
            </w:pPr>
            <w:r>
              <w:rPr>
                <w:rFonts w:ascii="맑은 고딕" w:cs="맑은 고딕" w:eastAsia="맑은 고딕" w:hAnsi="맑은 고딕"/>
                <w:b/>
                <w:bCs/>
                <w:sz w:val="18"/>
                <w:szCs w:val="18"/>
              </w:rPr>
              <w:t xml:space="preserve">내용과 영향</w:t>
            </w:r>
          </w:p>
        </w:tc>
      </w:tr>
      <w:tr>
        <w:tc>
          <w:tcPr>
            <w:tcW w:type="dxa" w:w="22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학습 데이터의 성격</w:t>
            </w:r>
          </w:p>
        </w:tc>
        <w:tc>
          <w:tcPr>
            <w:tcW w:type="dxa" w:w="71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교육용 데이터이므로 실차 계측값과 분포·잡음 특성이 다를 수 있다. 본 보고서의 성능 수치는 이 데이터 범위 안에서만 유효하다.</w:t>
            </w:r>
          </w:p>
        </w:tc>
      </w:tr>
      <w:tr>
        <w:tc>
          <w:tcPr>
            <w:tcW w:type="dxa" w:w="22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분석 단위와 서비스 단위의 불일치</w:t>
            </w:r>
          </w:p>
        </w:tc>
        <w:tc>
          <w:tcPr>
            <w:tcW w:type="dxa" w:w="71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모델은 주행 단위 데이터로 학습되었으나 8.2절 시뮬레이션은 각 구간을 하나의 주행처럼 취급한다. 실제로는 구간 길이가 짧아질수록 이 단순화의 오차가 커질 수 있다.</w:t>
            </w:r>
          </w:p>
        </w:tc>
      </w:tr>
      <w:tr>
        <w:tc>
          <w:tcPr>
            <w:tcW w:type="dxa" w:w="22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경로·시간 정보 부재</w:t>
            </w:r>
          </w:p>
        </w:tc>
        <w:tc>
          <w:tcPr>
            <w:tcW w:type="dxa" w:w="71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데이터에 구간 연결 정보와 시간 순서가 없어 회생제동, 가감속 이력, 누적 효과를 반영하지 못한다.</w:t>
            </w:r>
          </w:p>
        </w:tc>
      </w:tr>
      <w:tr>
        <w:tc>
          <w:tcPr>
            <w:tcW w:type="dxa" w:w="22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차량·배터리 정보 부재</w:t>
            </w:r>
          </w:p>
        </w:tc>
        <w:tc>
          <w:tcPr>
            <w:tcW w:type="dxa" w:w="71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차종, 사용 가능 배터리 용량, 배터리 열화 상태가 없어 도착 SOC 계산은 60kWh 가정에 의존한다. 실차에서는 BMS의 사용 가능 용량을 써야 한다.</w:t>
            </w:r>
          </w:p>
        </w:tc>
      </w:tr>
      <w:tr>
        <w:tc>
          <w:tcPr>
            <w:tcW w:type="dxa" w:w="22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운전 스타일 지수의 정의 불명확</w:t>
            </w:r>
          </w:p>
        </w:tc>
        <w:tc>
          <w:tcPr>
            <w:tcW w:type="dxa" w:w="71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driving_style_index의 산출 기준이 원자료에 없어 값의 의미를 단정할 수 없고, 실차에서 동일한 지수를 어떻게 만들지도 별도 설계가 필요하다.</w:t>
            </w:r>
          </w:p>
        </w:tc>
      </w:tr>
      <w:tr>
        <w:tc>
          <w:tcPr>
            <w:tcW w:type="dxa" w:w="22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입력 신호의 확보 가능성</w:t>
            </w:r>
          </w:p>
        </w:tc>
        <w:tc>
          <w:tcPr>
            <w:tcW w:type="dxa" w:w="71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경사도·거리는 HD맵으로 사전 확보되지만 예상 속도, 미래 공조 부하, 적재량은 추정값이므로 그 오차가 예측 오차에 더해진다.</w:t>
            </w:r>
          </w:p>
        </w:tc>
      </w:tr>
      <w:tr>
        <w:tc>
          <w:tcPr>
            <w:tcW w:type="dxa" w:w="22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인과관계 아님</w:t>
            </w:r>
          </w:p>
        </w:tc>
        <w:tc>
          <w:tcPr>
            <w:tcW w:type="dxa" w:w="71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상관계수와 표준화 영향도는 관계의 크기를 요약할 뿐 인과를 증명하지 않는다. “경사도를 줄이면 소비가 준다”는 식의 해석은 이 분석 범위를 벗어난다.</w:t>
            </w:r>
          </w:p>
        </w:tc>
      </w:tr>
      <w:tr>
        <w:tc>
          <w:tcPr>
            <w:tcW w:type="dxa" w:w="220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안전 기준의 임의성</w:t>
            </w:r>
          </w:p>
        </w:tc>
        <w:tc>
          <w:tcPr>
            <w:tcW w:type="dxa" w:w="7160"/>
            <w:tcMar>
              <w:top w:type="dxa" w:w="70"/>
              <w:left w:type="dxa" w:w="110"/>
              <w:bottom w:type="dxa" w:w="70"/>
              <w:right w:type="dxa" w:w="110"/>
            </w:tcMar>
          </w:tcPr>
          <w:p>
            <w:pPr>
              <w:spacing w:after="0" w:before="0" w:line="260"/>
              <w:jc w:val="left"/>
            </w:pPr>
            <w:r>
              <w:rPr>
                <w:rFonts w:ascii="맑은 고딕" w:cs="맑은 고딕" w:eastAsia="맑은 고딕" w:hAnsi="맑은 고딕"/>
                <w:b w:val="false"/>
                <w:bCs w:val="false"/>
                <w:sz w:val="18"/>
                <w:szCs w:val="18"/>
              </w:rPr>
              <w:t xml:space="preserve">최소 도착 SOC 10%는 시뮬레이션을 위해 설정한 값이다. 실제로는 제조사의 배터리 보호 정책과 예측 불확실성을 반영해 더 큰 여유를 두어야 한다.</w:t>
            </w:r>
          </w:p>
        </w:tc>
      </w:tr>
    </w:tbl>
    <w:p>
      <w:pPr>
        <w:pStyle w:val="Heading1"/>
        <w:spacing w:after="140" w:before="320"/>
      </w:pPr>
      <w:r>
        <w:rPr>
          <w:rFonts w:ascii="맑은 고딕" w:cs="맑은 고딕" w:eastAsia="맑은 고딕" w:hAnsi="맑은 고딕"/>
          <w:b/>
          <w:bCs/>
          <w:color w:val="000000"/>
          <w:sz w:val="28"/>
          <w:szCs w:val="28"/>
        </w:rPr>
        <w:t xml:space="preserve">10. 개선 방향</w:t>
      </w:r>
    </w:p>
    <w:p>
      <w:pPr>
        <w:spacing w:after="60" w:before="30" w:line="290"/>
        <w:ind w:left="400" w:hanging="260"/>
      </w:pPr>
      <w:r>
        <w:rPr>
          <w:rFonts w:ascii="맑은 고딕" w:cs="맑은 고딕" w:eastAsia="맑은 고딕" w:hAnsi="맑은 고딕"/>
          <w:b/>
          <w:bCs/>
          <w:sz w:val="20"/>
          <w:szCs w:val="20"/>
        </w:rPr>
        <w:t xml:space="preserve">1. </w:t>
      </w:r>
      <w:r>
        <w:rPr>
          <w:rFonts w:ascii="맑은 고딕" w:cs="맑은 고딕" w:eastAsia="맑은 고딕" w:hAnsi="맑은 고딕"/>
          <w:b/>
          <w:bCs/>
          <w:sz w:val="20"/>
          <w:szCs w:val="20"/>
        </w:rPr>
        <w:t xml:space="preserve">실차 데이터 기반 재학습 — </w:t>
      </w:r>
      <w:r>
        <w:rPr>
          <w:rFonts w:ascii="맑은 고딕" w:cs="맑은 고딕" w:eastAsia="맑은 고딕" w:hAnsi="맑은 고딕"/>
          <w:sz w:val="20"/>
          <w:szCs w:val="20"/>
        </w:rPr>
        <w:t xml:space="preserve">양산차의 CAN·BMS 로그로 동일 구조의 모델을 재학습하고, 예측값과 실제 도착 SOC의 차이를 지속 추적한다.</w:t>
      </w:r>
    </w:p>
    <w:p>
      <w:pPr>
        <w:spacing w:after="60" w:before="30" w:line="290"/>
        <w:ind w:left="400" w:hanging="260"/>
      </w:pPr>
      <w:r>
        <w:rPr>
          <w:rFonts w:ascii="맑은 고딕" w:cs="맑은 고딕" w:eastAsia="맑은 고딕" w:hAnsi="맑은 고딕"/>
          <w:b/>
          <w:bCs/>
          <w:sz w:val="20"/>
          <w:szCs w:val="20"/>
        </w:rPr>
        <w:t xml:space="preserve">2. </w:t>
      </w:r>
      <w:r>
        <w:rPr>
          <w:rFonts w:ascii="맑은 고딕" w:cs="맑은 고딕" w:eastAsia="맑은 고딕" w:hAnsi="맑은 고딕"/>
          <w:b/>
          <w:bCs/>
          <w:sz w:val="20"/>
          <w:szCs w:val="20"/>
        </w:rPr>
        <w:t xml:space="preserve">구간 단위 데이터로의 전환 — </w:t>
      </w:r>
      <w:r>
        <w:rPr>
          <w:rFonts w:ascii="맑은 고딕" w:cs="맑은 고딕" w:eastAsia="맑은 고딕" w:hAnsi="맑은 고딕"/>
          <w:sz w:val="20"/>
          <w:szCs w:val="20"/>
        </w:rPr>
        <w:t xml:space="preserve">경로를 HD맵 기준 소구간으로 나눈 데이터로 학습해, 서비스의 계산 단위와 학습 단위를 일치시킨다.</w:t>
      </w:r>
    </w:p>
    <w:p>
      <w:pPr>
        <w:spacing w:after="60" w:before="30" w:line="290"/>
        <w:ind w:left="400" w:hanging="260"/>
      </w:pPr>
      <w:r>
        <w:rPr>
          <w:rFonts w:ascii="맑은 고딕" w:cs="맑은 고딕" w:eastAsia="맑은 고딕" w:hAnsi="맑은 고딕"/>
          <w:b/>
          <w:bCs/>
          <w:sz w:val="20"/>
          <w:szCs w:val="20"/>
        </w:rPr>
        <w:t xml:space="preserve">3. </w:t>
      </w:r>
      <w:r>
        <w:rPr>
          <w:rFonts w:ascii="맑은 고딕" w:cs="맑은 고딕" w:eastAsia="맑은 고딕" w:hAnsi="맑은 고딕"/>
          <w:b/>
          <w:bCs/>
          <w:sz w:val="20"/>
          <w:szCs w:val="20"/>
        </w:rPr>
        <w:t xml:space="preserve">차종·배터리 변수 추가 — </w:t>
      </w:r>
      <w:r>
        <w:rPr>
          <w:rFonts w:ascii="맑은 고딕" w:cs="맑은 고딕" w:eastAsia="맑은 고딕" w:hAnsi="맑은 고딕"/>
          <w:sz w:val="20"/>
          <w:szCs w:val="20"/>
        </w:rPr>
        <w:t xml:space="preserve">차종, 사용 가능 용량, 열화율을 입력에 포함해 차량별 도착 SOC 정확도를 높인다.</w:t>
      </w:r>
    </w:p>
    <w:p>
      <w:pPr>
        <w:spacing w:after="60" w:before="30" w:line="290"/>
        <w:ind w:left="400" w:hanging="260"/>
      </w:pPr>
      <w:r>
        <w:rPr>
          <w:rFonts w:ascii="맑은 고딕" w:cs="맑은 고딕" w:eastAsia="맑은 고딕" w:hAnsi="맑은 고딕"/>
          <w:b/>
          <w:bCs/>
          <w:sz w:val="20"/>
          <w:szCs w:val="20"/>
        </w:rPr>
        <w:t xml:space="preserve">4. </w:t>
      </w:r>
      <w:r>
        <w:rPr>
          <w:rFonts w:ascii="맑은 고딕" w:cs="맑은 고딕" w:eastAsia="맑은 고딕" w:hAnsi="맑은 고딕"/>
          <w:b/>
          <w:bCs/>
          <w:sz w:val="20"/>
          <w:szCs w:val="20"/>
        </w:rPr>
        <w:t xml:space="preserve">온도 표현의 정교화 — </w:t>
      </w:r>
      <w:r>
        <w:rPr>
          <w:rFonts w:ascii="맑은 고딕" w:cs="맑은 고딕" w:eastAsia="맑은 고딕" w:hAnsi="맑은 고딕"/>
          <w:sz w:val="20"/>
          <w:szCs w:val="20"/>
        </w:rPr>
        <w:t xml:space="preserve">고정 기준의 파생변수 대신 구간별 기울기를 학습하는 형태로 확장하고, 저온 영향이 고온보다 큰 특성을 반영한다.</w:t>
      </w:r>
    </w:p>
    <w:p>
      <w:pPr>
        <w:spacing w:after="60" w:before="30" w:line="290"/>
        <w:ind w:left="400" w:hanging="260"/>
      </w:pPr>
      <w:r>
        <w:rPr>
          <w:rFonts w:ascii="맑은 고딕" w:cs="맑은 고딕" w:eastAsia="맑은 고딕" w:hAnsi="맑은 고딕"/>
          <w:b/>
          <w:bCs/>
          <w:sz w:val="20"/>
          <w:szCs w:val="20"/>
        </w:rPr>
        <w:t xml:space="preserve">5. </w:t>
      </w:r>
      <w:r>
        <w:rPr>
          <w:rFonts w:ascii="맑은 고딕" w:cs="맑은 고딕" w:eastAsia="맑은 고딕" w:hAnsi="맑은 고딕"/>
          <w:b/>
          <w:bCs/>
          <w:sz w:val="20"/>
          <w:szCs w:val="20"/>
        </w:rPr>
        <w:t xml:space="preserve">예측 구간 제공 — </w:t>
      </w:r>
      <w:r>
        <w:rPr>
          <w:rFonts w:ascii="맑은 고딕" w:cs="맑은 고딕" w:eastAsia="맑은 고딕" w:hAnsi="맑은 고딕"/>
          <w:sz w:val="20"/>
          <w:szCs w:val="20"/>
        </w:rPr>
        <w:t xml:space="preserve">단일 예측값 대신 오차 범위를 함께 제시해, 안전 잔량을 고정값이 아닌 불확실성 기반으로 설정할 수 있게 한다.</w:t>
      </w:r>
    </w:p>
    <w:p>
      <w:pPr>
        <w:spacing w:after="60" w:before="30" w:line="290"/>
        <w:ind w:left="400" w:hanging="260"/>
      </w:pPr>
      <w:r>
        <w:rPr>
          <w:rFonts w:ascii="맑은 고딕" w:cs="맑은 고딕" w:eastAsia="맑은 고딕" w:hAnsi="맑은 고딕"/>
          <w:b/>
          <w:bCs/>
          <w:sz w:val="20"/>
          <w:szCs w:val="20"/>
        </w:rPr>
        <w:t xml:space="preserve">6. </w:t>
      </w:r>
      <w:r>
        <w:rPr>
          <w:rFonts w:ascii="맑은 고딕" w:cs="맑은 고딕" w:eastAsia="맑은 고딕" w:hAnsi="맑은 고딕"/>
          <w:b/>
          <w:bCs/>
          <w:sz w:val="20"/>
          <w:szCs w:val="20"/>
        </w:rPr>
        <w:t xml:space="preserve">충전 인프라 연계 — </w:t>
      </w:r>
      <w:r>
        <w:rPr>
          <w:rFonts w:ascii="맑은 고딕" w:cs="맑은 고딕" w:eastAsia="맑은 고딕" w:hAnsi="맑은 고딕"/>
          <w:sz w:val="20"/>
          <w:szCs w:val="20"/>
        </w:rPr>
        <w:t xml:space="preserve">충전소 위치·출력·요금 데이터를 결합해 경유 지점 추천과 예상 충전 시간까지 산출한다.</w:t>
      </w:r>
    </w:p>
    <w:p>
      <w:pPr>
        <w:pStyle w:val="Heading1"/>
        <w:spacing w:after="140" w:before="320"/>
      </w:pPr>
      <w:r>
        <w:rPr>
          <w:rFonts w:ascii="맑은 고딕" w:cs="맑은 고딕" w:eastAsia="맑은 고딕" w:hAnsi="맑은 고딕"/>
          <w:b/>
          <w:bCs/>
          <w:color w:val="000000"/>
          <w:sz w:val="28"/>
          <w:szCs w:val="28"/>
        </w:rPr>
        <w:t xml:space="preserve">11. 결론</w:t>
      </w:r>
    </w:p>
    <w:p>
      <w:pPr>
        <w:spacing w:after="100" w:before="60" w:line="300"/>
        <w:jc w:val="left"/>
      </w:pPr>
      <w:r>
        <w:rPr>
          <w:rFonts w:ascii="맑은 고딕" w:cs="맑은 고딕" w:eastAsia="맑은 고딕" w:hAnsi="맑은 고딕"/>
          <w:color w:val="000000"/>
          <w:sz w:val="20"/>
          <w:szCs w:val="20"/>
        </w:rPr>
        <w:t xml:space="preserve">본 분석은 “전기차 주행 데이터로 에너지 소비량을 예측한다”는 과제를, 주행가능거리 안내와 충전 계획의 근거를 만드는 문제로 재정의하고 데이터로 검증했다.</w:t>
      </w:r>
    </w:p>
    <w:p>
      <w:pPr>
        <w:spacing w:after="100" w:before="60" w:line="300"/>
        <w:jc w:val="left"/>
      </w:pPr>
      <w:r>
        <w:rPr>
          <w:rFonts w:ascii="맑은 고딕" w:cs="맑은 고딕" w:eastAsia="맑은 고딕" w:hAnsi="맑은 고딕"/>
          <w:color w:val="000000"/>
          <w:sz w:val="20"/>
          <w:szCs w:val="20"/>
        </w:rPr>
        <w:t xml:space="preserve">모델 측면에서는 </w:t>
      </w:r>
      <w:r>
        <w:rPr>
          <w:rFonts w:ascii="맑은 고딕" w:cs="맑은 고딕" w:eastAsia="맑은 고딕" w:hAnsi="맑은 고딕"/>
          <w:b/>
          <w:bCs/>
          <w:color w:val="000000"/>
          <w:sz w:val="20"/>
          <w:szCs w:val="20"/>
        </w:rPr>
        <w:t xml:space="preserve">개선 선형회귀(테스트 MAE 0.6466, RMSE 0.8112, R² 0.9513)</w:t>
      </w:r>
      <w:r>
        <w:rPr>
          <w:rFonts w:ascii="맑은 고딕" w:cs="맑은 고딕" w:eastAsia="맑은 고딕" w:hAnsi="맑은 고딕"/>
          <w:color w:val="000000"/>
          <w:sz w:val="20"/>
          <w:szCs w:val="20"/>
        </w:rPr>
        <w:t xml:space="preserve">를 최종 모델로 선정했다. 선정의 결정적 근거는 지표 개선 자체가 아니라, EDA에서 발견한 외기온의 U자형 관계를 파생변수로 반영해 기준 모델에 남아 있던 온도 구간별 체계적 편향을 제거했다는 점이다. 의사결정트리는 비선형 표현력이 있음에도 이 데이터의 지배적 관계가 거의 선형이라 계단식 예측의 불리함을 넘어서지 못했다.</w:t>
      </w:r>
    </w:p>
    <w:p>
      <w:pPr>
        <w:spacing w:after="100" w:before="60" w:line="300"/>
        <w:jc w:val="left"/>
      </w:pPr>
      <w:r>
        <w:rPr>
          <w:rFonts w:ascii="맑은 고딕" w:cs="맑은 고딕" w:eastAsia="맑은 고딕" w:hAnsi="맑은 고딕"/>
          <w:color w:val="000000"/>
          <w:sz w:val="20"/>
          <w:szCs w:val="20"/>
        </w:rPr>
        <w:t xml:space="preserve">오차의 크기도 업무 언어로 환산하면 판단이 쉬워진다. RMSE 0.8112 kWh/100km는 150km 경로에서 약 1.22kWh, 60kWh 배터리 기준 도착 SOC로 약 </w:t>
      </w:r>
      <w:r>
        <w:rPr>
          <w:rFonts w:ascii="맑은 고딕" w:cs="맑은 고딕" w:eastAsia="맑은 고딕" w:hAnsi="맑은 고딕"/>
          <w:b/>
          <w:bCs/>
          <w:color w:val="000000"/>
          <w:sz w:val="20"/>
          <w:szCs w:val="20"/>
        </w:rPr>
        <w:t xml:space="preserve">2.0%p 수준의 오차</w:t>
      </w:r>
      <w:r>
        <w:rPr>
          <w:rFonts w:ascii="맑은 고딕" w:cs="맑은 고딕" w:eastAsia="맑은 고딕" w:hAnsi="맑은 고딕"/>
          <w:color w:val="000000"/>
          <w:sz w:val="20"/>
          <w:szCs w:val="20"/>
        </w:rPr>
        <w:t xml:space="preserve">에 해당한다. 현재 설정한 안전 잔량 10%보다 충분히 작으므로, 경로 후보 간 우열을 가리는 용도로는 실용적인 정확도라고 판단한다.</w:t>
      </w:r>
    </w:p>
    <w:p>
      <w:pPr>
        <w:spacing w:after="100" w:before="60" w:line="300"/>
        <w:jc w:val="left"/>
      </w:pPr>
      <w:r>
        <w:rPr>
          <w:rFonts w:ascii="맑은 고딕" w:cs="맑은 고딕" w:eastAsia="맑은 고딕" w:hAnsi="맑은 고딕"/>
          <w:color w:val="000000"/>
          <w:sz w:val="20"/>
          <w:szCs w:val="20"/>
        </w:rPr>
        <w:t xml:space="preserve">업무 활용 측면에서는 예측 소비율을 구간 거리와 결합하는 환산식만으로 경로별 소비전력량과 도착 SOC가 계산되며, 시뮬레이션에서 최단거리도 최단시간도 최소 에너지 경로가 아니라는 결과를 확인했다. 특히 최소 에너지 경로가 저속 주행이 아니라 완만한 경사에서 나올 경우, 시간 손해를 5.6분 수준으로 억제하면서도 도착 SOC를 2.42%p 높일 수 있었다. 이는 최단거리·최단시간과 별도로 에너지 관점의 경로 정보를 제공할 실익이 있다는 뜻이다.</w:t>
      </w:r>
    </w:p>
    <w:p>
      <w:pPr>
        <w:pBdr>
          <w:top w:val="single" w:color="888888" w:sz="4" w:space="8"/>
          <w:left w:val="single" w:color="888888" w:sz="4" w:space="10"/>
          <w:bottom w:val="single" w:color="888888" w:sz="4" w:space="8"/>
          <w:right w:val="single" w:color="888888" w:sz="4" w:space="10"/>
        </w:pBdr>
        <w:spacing w:after="160" w:before="140" w:line="300"/>
        <w:ind w:left="120" w:right="120"/>
      </w:pPr>
      <w:r>
        <w:rPr>
          <w:rFonts w:ascii="맑은 고딕" w:cs="맑은 고딕" w:eastAsia="맑은 고딕" w:hAnsi="맑은 고딕"/>
          <w:b/>
          <w:bCs/>
          <w:sz w:val="20"/>
          <w:szCs w:val="20"/>
        </w:rPr>
        <w:t xml:space="preserve">결론 : </w:t>
      </w:r>
      <w:r>
        <w:rPr>
          <w:rFonts w:ascii="맑은 고딕" w:cs="맑은 고딕" w:eastAsia="맑은 고딕" w:hAnsi="맑은 고딕"/>
          <w:sz w:val="20"/>
          <w:szCs w:val="20"/>
        </w:rPr>
        <w:t xml:space="preserve">주행·환경 조건 9개 변수와 저온·고온 파생변수를 사용한 선형회귀는 100km당 에너지 소비율의 변동을 95.1% 설명하며, 이 예측값은 경로 후보별 소비전력량과 도착 SOC를 산출하는 비용 함수로 사용할 수 있다. 다만 실차 적용을 위해서는 양산차 데이터, 구간 단위 학습, 차량별 배터리 정보를 이용한 추가 검증이 선행되어야 한다.</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맑은 고딕" w:cs="맑은 고딕" w:eastAsia="맑은 고딕" w:hAnsi="맑은 고딕"/>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0"/>
        <w:szCs w:val="20"/>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aea9bcbc38ea663d39db549cfbfb90edce715b0.png"/><Relationship Id="rId9" Type="http://schemas.openxmlformats.org/officeDocument/2006/relationships/image" Target="media/dec069eb8ad1c974bb504193268d403daac4213f.png"/><Relationship Id="rId10" Type="http://schemas.openxmlformats.org/officeDocument/2006/relationships/image" Target="media/bbbfa3e7a22ca8f186de46e51285a07560d0de8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2026-08-28T05:16:10.046Z</dcterms:created>
  <dcterms:modified xsi:type="dcterms:W3CDTF">2026-08-28T05:16:10.062Z</dcterms:modified>
</cp:coreProperties>
</file>

<file path=docProps/custom.xml><?xml version="1.0" encoding="utf-8"?>
<Properties xmlns="http://schemas.openxmlformats.org/officeDocument/2006/custom-properties" xmlns:vt="http://schemas.openxmlformats.org/officeDocument/2006/docPropsVTypes"/>
</file>