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120"/>
        <w:jc w:val="center"/>
      </w:pPr>
      <w:r>
        <w:rPr>
          <w:rFonts w:ascii="Times New Roman" w:hAnsi="Times New Roman"/>
          <w:b/>
          <w:i w:val="0"/>
          <w:color w:val="1B3A5C"/>
          <w:sz w:val="28"/>
        </w:rPr>
        <w:t>CÔNG TY CỔ PHẦN DỊCH VỤ DẦU KHÍ QUẢNG NGÃI</w:t>
      </w:r>
    </w:p>
    <w:p>
      <w:pPr>
        <w:spacing w:after="120"/>
        <w:jc w:val="center"/>
      </w:pPr>
      <w:r>
        <w:rPr>
          <w:rFonts w:ascii="Times New Roman" w:hAnsi="Times New Roman"/>
          <w:b/>
          <w:i w:val="0"/>
          <w:color w:val="1B3A5C"/>
          <w:sz w:val="26"/>
        </w:rPr>
        <w:t>(PTSC QUẢNG NGÃI)</w:t>
      </w:r>
    </w:p>
    <w:p>
      <w:pPr>
        <w:spacing w:after="120"/>
        <w:jc w:val="center"/>
      </w:pPr>
      <w:r>
        <w:rPr>
          <w:rFonts w:ascii="Times New Roman" w:hAnsi="Times New Roman"/>
          <w:b w:val="0"/>
          <w:i w:val="0"/>
          <w:color w:val="999999"/>
          <w:sz w:val="20"/>
        </w:rPr>
        <w:t>──────────────────────────────</w:t>
      </w:r>
    </w:p>
    <w:p/>
    <w:p/>
    <w:p>
      <w:pPr>
        <w:spacing w:after="120"/>
        <w:jc w:val="center"/>
      </w:pPr>
      <w:r>
        <w:rPr>
          <w:rFonts w:ascii="Times New Roman" w:hAnsi="Times New Roman"/>
          <w:b/>
          <w:i w:val="0"/>
          <w:color w:val="1B3A5C"/>
          <w:sz w:val="36"/>
        </w:rPr>
        <w:t>BÁO CÁO &amp; KẾ HOẠCH HÀNH ĐỘNG</w:t>
      </w:r>
    </w:p>
    <w:p>
      <w:pPr>
        <w:spacing w:after="120"/>
        <w:jc w:val="center"/>
      </w:pPr>
      <w:r>
        <w:rPr>
          <w:rFonts w:ascii="Times New Roman" w:hAnsi="Times New Roman"/>
          <w:b/>
          <w:i w:val="0"/>
          <w:color w:val="1B3A5C"/>
          <w:sz w:val="32"/>
        </w:rPr>
        <w:t>TRIỂN KHAI NỀN TẢNG DỮ LIỆU (DATA PLATFORM)</w:t>
      </w:r>
    </w:p>
    <w:p>
      <w:pPr>
        <w:spacing w:after="120"/>
        <w:jc w:val="center"/>
      </w:pPr>
      <w:r>
        <w:rPr>
          <w:rFonts w:ascii="Times New Roman" w:hAnsi="Times New Roman"/>
          <w:b/>
          <w:i w:val="0"/>
          <w:color w:val="1B3A5C"/>
          <w:sz w:val="32"/>
        </w:rPr>
        <w:t>TẠI PTSC QUẢNG NGÃI</w:t>
      </w:r>
    </w:p>
    <w:p/>
    <w:p>
      <w:pPr>
        <w:spacing w:after="120"/>
        <w:jc w:val="center"/>
      </w:pPr>
      <w:r>
        <w:rPr>
          <w:rFonts w:ascii="Times New Roman" w:hAnsi="Times New Roman"/>
          <w:b w:val="0"/>
          <w:i w:val="0"/>
          <w:color w:val="999999"/>
          <w:sz w:val="20"/>
        </w:rPr>
        <w:t>──────────────────────────────</w:t>
      </w:r>
    </w:p>
    <w:p/>
    <w:p>
      <w:pPr>
        <w:spacing w:after="120"/>
        <w:jc w:val="center"/>
      </w:pPr>
      <w:r>
        <w:rPr>
          <w:rFonts w:ascii="Times New Roman" w:hAnsi="Times New Roman"/>
          <w:b w:val="0"/>
          <w:i/>
          <w:sz w:val="26"/>
        </w:rPr>
        <w:t>Kính trình: Ban Giám đốc Công ty Cổ phần Dịch vụ Dầu khí Quảng Ngãi</w:t>
      </w:r>
    </w:p>
    <w:p>
      <w:pPr>
        <w:spacing w:after="120"/>
        <w:jc w:val="center"/>
      </w:pPr>
      <w:r>
        <w:rPr>
          <w:rFonts w:ascii="Times New Roman" w:hAnsi="Times New Roman"/>
          <w:b w:val="0"/>
          <w:i/>
          <w:sz w:val="26"/>
        </w:rPr>
        <w:t>Đơn vị soạn thảo: Phòng Công nghệ Thông tin</w:t>
      </w:r>
    </w:p>
    <w:p>
      <w:pPr>
        <w:spacing w:after="120"/>
        <w:jc w:val="center"/>
      </w:pPr>
      <w:r>
        <w:rPr>
          <w:rFonts w:ascii="Times New Roman" w:hAnsi="Times New Roman"/>
          <w:b w:val="0"/>
          <w:i/>
          <w:sz w:val="26"/>
        </w:rPr>
        <w:t>Thời gian: Tháng 09/2026</w:t>
      </w:r>
    </w:p>
    <w:p>
      <w:r>
        <w:br w:type="page"/>
      </w:r>
    </w:p>
    <w:p>
      <w:pPr>
        <w:pStyle w:val="Heading1"/>
      </w:pPr>
      <w:r>
        <w:rPr>
          <w:rFonts w:ascii="Times New Roman" w:hAnsi="Times New Roman"/>
          <w:color w:val="1B3A5C"/>
        </w:rPr>
        <w:t>MỤC LỤC</w:t>
      </w:r>
    </w:p>
    <w:p>
      <w:pPr>
        <w:spacing w:after="60"/>
      </w:pPr>
      <w:r>
        <w:rPr>
          <w:rFonts w:ascii="Times New Roman" w:hAnsi="Times New Roman"/>
          <w:b w:val="0"/>
          <w:i w:val="0"/>
          <w:sz w:val="24"/>
        </w:rPr>
        <w:t>1. Tóm tắt Điều hành (Executive Summary)</w:t>
      </w:r>
    </w:p>
    <w:p>
      <w:pPr>
        <w:spacing w:after="60"/>
      </w:pPr>
      <w:r>
        <w:rPr>
          <w:rFonts w:ascii="Times New Roman" w:hAnsi="Times New Roman"/>
          <w:b w:val="0"/>
          <w:i w:val="0"/>
          <w:sz w:val="24"/>
        </w:rPr>
        <w:t>2. Phần I: Bối cảnh, Căn cứ Pháp lý &amp; Vị thế của Quảng Ngãi</w:t>
      </w:r>
    </w:p>
    <w:p>
      <w:pPr>
        <w:spacing w:after="60"/>
      </w:pPr>
      <w:r>
        <w:rPr>
          <w:rFonts w:ascii="Times New Roman" w:hAnsi="Times New Roman"/>
          <w:b w:val="0"/>
          <w:i w:val="0"/>
          <w:sz w:val="24"/>
        </w:rPr>
        <w:t>3. Phần II: Mục tiêu Kép &amp; Giá trị Thực tiễn cho Ban Giám đốc</w:t>
      </w:r>
    </w:p>
    <w:p>
      <w:pPr>
        <w:spacing w:after="60"/>
      </w:pPr>
      <w:r>
        <w:rPr>
          <w:rFonts w:ascii="Times New Roman" w:hAnsi="Times New Roman"/>
          <w:b w:val="0"/>
          <w:i w:val="0"/>
          <w:sz w:val="24"/>
        </w:rPr>
        <w:t>4. Phần III: Phương án Đối tác &amp; Cơ chế Làm việc với TCT</w:t>
      </w:r>
    </w:p>
    <w:p>
      <w:pPr>
        <w:spacing w:after="60"/>
      </w:pPr>
      <w:r>
        <w:rPr>
          <w:rFonts w:ascii="Times New Roman" w:hAnsi="Times New Roman"/>
          <w:b w:val="0"/>
          <w:i w:val="0"/>
          <w:sz w:val="24"/>
        </w:rPr>
        <w:t>5. Phần IV: Hiện trạng Hệ thống &amp; Thuận lợi của Quảng Ngãi</w:t>
      </w:r>
    </w:p>
    <w:p>
      <w:pPr>
        <w:spacing w:after="60"/>
      </w:pPr>
      <w:r>
        <w:rPr>
          <w:rFonts w:ascii="Times New Roman" w:hAnsi="Times New Roman"/>
          <w:b w:val="0"/>
          <w:i w:val="0"/>
          <w:sz w:val="24"/>
        </w:rPr>
        <w:t>6. Phần V: WBS Chi tiết (Work Breakdown Structure)</w:t>
      </w:r>
    </w:p>
    <w:p>
      <w:pPr>
        <w:spacing w:after="60"/>
      </w:pPr>
      <w:r>
        <w:rPr>
          <w:rFonts w:ascii="Times New Roman" w:hAnsi="Times New Roman"/>
          <w:b w:val="0"/>
          <w:i w:val="0"/>
          <w:sz w:val="24"/>
        </w:rPr>
        <w:t>7. Phần VI: Cơ cấu Tổ chức &amp; Ma trận RACI</w:t>
      </w:r>
    </w:p>
    <w:p>
      <w:pPr>
        <w:spacing w:after="60"/>
      </w:pPr>
      <w:r>
        <w:rPr>
          <w:rFonts w:ascii="Times New Roman" w:hAnsi="Times New Roman"/>
          <w:b w:val="0"/>
          <w:i w:val="0"/>
          <w:sz w:val="24"/>
        </w:rPr>
        <w:t>8. Phần VII: Dự toán Ngân sách &amp; Quản trị Rủi ro</w:t>
      </w:r>
    </w:p>
    <w:p>
      <w:pPr>
        <w:spacing w:after="60"/>
      </w:pPr>
      <w:r>
        <w:rPr>
          <w:rFonts w:ascii="Times New Roman" w:hAnsi="Times New Roman"/>
          <w:b w:val="0"/>
          <w:i w:val="0"/>
          <w:sz w:val="24"/>
        </w:rPr>
        <w:t>9. Phần VIII: Kế hoạch Hành động Trước mắt (2 tuần tới)</w:t>
      </w:r>
    </w:p>
    <w:p>
      <w:pPr>
        <w:spacing w:after="60"/>
      </w:pPr>
      <w:r>
        <w:rPr>
          <w:rFonts w:ascii="Times New Roman" w:hAnsi="Times New Roman"/>
          <w:b w:val="0"/>
          <w:i w:val="0"/>
          <w:sz w:val="24"/>
        </w:rPr>
        <w:t>10. Phần IX: Kiến nghị Ban Giám đốc Phê duyệt</w:t>
      </w:r>
    </w:p>
    <w:p>
      <w:pPr>
        <w:spacing w:after="60"/>
      </w:pPr>
      <w:r>
        <w:rPr>
          <w:rFonts w:ascii="Times New Roman" w:hAnsi="Times New Roman"/>
          <w:b w:val="0"/>
          <w:i w:val="0"/>
          <w:sz w:val="24"/>
        </w:rPr>
        <w:t>11. Phụ lục A: 13 Tiêu chí Kỹ thuật Tích hợp TCT</w:t>
      </w:r>
    </w:p>
    <w:p>
      <w:pPr>
        <w:spacing w:after="60"/>
      </w:pPr>
      <w:r>
        <w:rPr>
          <w:rFonts w:ascii="Times New Roman" w:hAnsi="Times New Roman"/>
          <w:b w:val="0"/>
          <w:i w:val="0"/>
          <w:sz w:val="24"/>
        </w:rPr>
        <w:t>12. Phụ lục B: Dự thảo Công văn gửi Tổng công ty</w:t>
      </w:r>
    </w:p>
    <w:p>
      <w:r>
        <w:br w:type="page"/>
      </w:r>
    </w:p>
    <w:p>
      <w:pPr>
        <w:pStyle w:val="Heading1"/>
      </w:pPr>
      <w:r>
        <w:rPr>
          <w:rFonts w:ascii="Times New Roman" w:hAnsi="Times New Roman"/>
          <w:color w:val="1B3A5C"/>
        </w:rPr>
        <w:t>TÓM TẮT ĐIỀU HÀNH</w:t>
      </w:r>
    </w:p>
    <w:p>
      <w:pPr>
        <w:spacing w:after="120"/>
      </w:pPr>
      <w:r>
        <w:rPr>
          <w:rFonts w:ascii="Times New Roman" w:hAnsi="Times New Roman"/>
          <w:b w:val="0"/>
          <w:i w:val="0"/>
          <w:sz w:val="26"/>
        </w:rPr>
        <w:t>Báo cáo này cụ thể hóa chủ trương của Tổng công ty PTSC về việc triển khai Nền tảng Dữ liệu (Data Platform) tập trung thành Kế hoạch hành động chi tiết (Action Plan) tại PTSC Quảng Ngãi, giải quyết 4 vấn đề cốt lõi:</w:t>
      </w:r>
    </w:p>
    <w:p>
      <w:pPr>
        <w:pStyle w:val="ListBullet"/>
        <w:ind w:left="567"/>
      </w:pPr>
      <w:r>
        <w:rPr>
          <w:rFonts w:ascii="Times New Roman" w:hAnsi="Times New Roman"/>
          <w:b/>
          <w:sz w:val="26"/>
        </w:rPr>
        <w:t xml:space="preserve">Mục tiêu chính trị &amp; Nhiệm vụ TCT giao: </w:t>
      </w:r>
      <w:r>
        <w:rPr>
          <w:rFonts w:ascii="Times New Roman" w:hAnsi="Times New Roman"/>
          <w:sz w:val="26"/>
        </w:rPr>
        <w:t>Hoàn thành đúng hạn 100% tiêu chí tích hợp dữ liệu của TCT theo mô hình Level 3 (Tenant riêng trên Cloud Microsoft Fabric); dữ liệu được phân quyền cô lập tuyệt đối.</w:t>
      </w:r>
    </w:p>
    <w:p>
      <w:pPr>
        <w:pStyle w:val="ListBullet"/>
        <w:ind w:left="567"/>
      </w:pPr>
      <w:r>
        <w:rPr>
          <w:rFonts w:ascii="Times New Roman" w:hAnsi="Times New Roman"/>
          <w:b/>
          <w:sz w:val="26"/>
        </w:rPr>
        <w:t xml:space="preserve">Không phát sinh CAPEX phần cứng (= 0 đồng): </w:t>
      </w:r>
      <w:r>
        <w:rPr>
          <w:rFonts w:ascii="Times New Roman" w:hAnsi="Times New Roman"/>
          <w:sz w:val="26"/>
        </w:rPr>
        <w:t>Toàn bộ máy chủ tính toán, lưu trữ OneLake và bản quyền phần mềm phân tích hiện đại đều do Tổng công ty đầu tư và cấp phát.</w:t>
      </w:r>
    </w:p>
    <w:p>
      <w:pPr>
        <w:pStyle w:val="ListBullet"/>
        <w:ind w:left="567"/>
      </w:pPr>
      <w:r>
        <w:rPr>
          <w:rFonts w:ascii="Times New Roman" w:hAnsi="Times New Roman"/>
          <w:b/>
          <w:sz w:val="26"/>
        </w:rPr>
        <w:t xml:space="preserve">Chiến lược đối tác triển khai: </w:t>
      </w:r>
      <w:r>
        <w:rPr>
          <w:rFonts w:ascii="Times New Roman" w:hAnsi="Times New Roman"/>
          <w:sz w:val="26"/>
        </w:rPr>
        <w:t>Đề xuất làm việc với chính Nhà cung cấp (Vendor) đang triển khai Data Platform cho Tổng công ty để triển khai luôn cho Quảng Ngãi. Phương án này triệt tiêu 80% rủi ro kỹ thuật.</w:t>
      </w:r>
    </w:p>
    <w:p>
      <w:pPr>
        <w:pStyle w:val="ListBullet"/>
        <w:ind w:left="567"/>
      </w:pPr>
      <w:r>
        <w:rPr>
          <w:rFonts w:ascii="Times New Roman" w:hAnsi="Times New Roman"/>
          <w:b/>
          <w:sz w:val="26"/>
        </w:rPr>
        <w:t xml:space="preserve">Lợi ích thiết thực cho Lãnh đạo: </w:t>
      </w:r>
      <w:r>
        <w:rPr>
          <w:rFonts w:ascii="Times New Roman" w:hAnsi="Times New Roman"/>
          <w:sz w:val="26"/>
        </w:rPr>
        <w:t>Tận dụng dự án để tự động hóa số liệu điều hành, trang bị cho Ban Giám đốc 4 màn hình Dashboard trực quan.</w:t>
      </w:r>
    </w:p>
    <w:p>
      <w:pPr>
        <w:pStyle w:val="Heading1"/>
      </w:pPr>
      <w:r>
        <w:rPr>
          <w:rFonts w:ascii="Times New Roman" w:hAnsi="Times New Roman"/>
          <w:color w:val="1B3A5C"/>
        </w:rPr>
        <w:t>PHẦN I: BỐI CẢNH, CĂN CỨ PHÁP LÝ &amp; VỊ THẾ CỦA QUẢNG NGÃI</w:t>
      </w:r>
    </w:p>
    <w:p>
      <w:pPr>
        <w:pStyle w:val="Heading2"/>
      </w:pPr>
      <w:r>
        <w:rPr>
          <w:rFonts w:ascii="Times New Roman" w:hAnsi="Times New Roman"/>
          <w:color w:val="1B3A5C"/>
        </w:rPr>
        <w:t>1. Căn cứ pháp lý</w:t>
      </w:r>
    </w:p>
    <w:p>
      <w:pPr>
        <w:pStyle w:val="ListBullet"/>
        <w:ind w:left="567"/>
      </w:pPr>
      <w:r>
        <w:rPr>
          <w:rFonts w:ascii="Times New Roman" w:hAnsi="Times New Roman"/>
          <w:sz w:val="26"/>
        </w:rPr>
        <w:t>Nghị quyết số 10/NQ-HĐQT-PTSC về "Chiến lược Chuyển đổi số của Tổng công ty PTSC giai đoạn 2026–2030".</w:t>
      </w:r>
    </w:p>
    <w:p>
      <w:pPr>
        <w:pStyle w:val="ListBullet"/>
        <w:ind w:left="567"/>
      </w:pPr>
      <w:r>
        <w:rPr>
          <w:rFonts w:ascii="Times New Roman" w:hAnsi="Times New Roman"/>
          <w:sz w:val="26"/>
        </w:rPr>
        <w:t>Quy chế Quản trị Dữ liệu số 889/QC-PTSC do Tổng công ty ban hành.</w:t>
      </w:r>
    </w:p>
    <w:p>
      <w:pPr>
        <w:pStyle w:val="ListBullet"/>
        <w:ind w:left="567"/>
      </w:pPr>
      <w:r>
        <w:rPr>
          <w:rFonts w:ascii="Times New Roman" w:hAnsi="Times New Roman"/>
          <w:sz w:val="26"/>
        </w:rPr>
        <w:t>Văn bản biểu mẫu PTSC-ADM-RG08-FM10: Phụ lục 13 tiêu chí kỹ thuật tích hợp bắt buộc.</w:t>
      </w:r>
    </w:p>
    <w:p>
      <w:pPr>
        <w:pStyle w:val="ListBullet"/>
        <w:ind w:left="567"/>
      </w:pPr>
      <w:r>
        <w:rPr>
          <w:rFonts w:ascii="Times New Roman" w:hAnsi="Times New Roman"/>
          <w:sz w:val="26"/>
        </w:rPr>
        <w:t>Kết luận Hội thảo Data Platform TCT (Tháng 08/2026): Phân tầng kiến trúc Hub-and-Spoke.</w:t>
      </w:r>
    </w:p>
    <w:p>
      <w:pPr>
        <w:pStyle w:val="Heading2"/>
      </w:pPr>
      <w:r>
        <w:rPr>
          <w:rFonts w:ascii="Times New Roman" w:hAnsi="Times New Roman"/>
          <w:color w:val="1B3A5C"/>
        </w:rPr>
        <w:t>2. Khung tuân thủ Pháp luật 2025–2026</w:t>
      </w:r>
    </w:p>
    <w:p>
      <w:pPr>
        <w:spacing w:after="120"/>
      </w:pPr>
      <w:r>
        <w:rPr>
          <w:rFonts w:ascii="Times New Roman" w:hAnsi="Times New Roman"/>
          <w:b w:val="0"/>
          <w:i w:val="0"/>
          <w:sz w:val="26"/>
        </w:rPr>
        <w:t>Tổng công ty nhấn mạnh: việc triển khai Data Platform tại đơn vị thành viên không chỉ là dự án CNTT mà còn là nghĩa vụ pháp lý.</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268"/>
            <w:shd w:fill="1B3A5C"/>
          </w:tcPr>
          <w:p>
            <w:pPr>
              <w:jc w:val="center"/>
            </w:pPr>
            <w:r/>
            <w:r>
              <w:rPr>
                <w:rFonts w:ascii="Times New Roman" w:hAnsi="Times New Roman"/>
                <w:b/>
                <w:color w:val="FFFFFF"/>
                <w:sz w:val="22"/>
              </w:rPr>
              <w:t>Luật</w:t>
            </w:r>
          </w:p>
        </w:tc>
        <w:tc>
          <w:tcPr>
            <w:tcW w:type="dxa" w:w="1417"/>
            <w:shd w:fill="1B3A5C"/>
          </w:tcPr>
          <w:p>
            <w:pPr>
              <w:jc w:val="center"/>
            </w:pPr>
            <w:r/>
            <w:r>
              <w:rPr>
                <w:rFonts w:ascii="Times New Roman" w:hAnsi="Times New Roman"/>
                <w:b/>
                <w:color w:val="FFFFFF"/>
                <w:sz w:val="22"/>
              </w:rPr>
              <w:t>Hiệu lực</w:t>
            </w:r>
          </w:p>
        </w:tc>
        <w:tc>
          <w:tcPr>
            <w:tcW w:type="dxa" w:w="2835"/>
            <w:shd w:fill="1B3A5C"/>
          </w:tcPr>
          <w:p>
            <w:pPr>
              <w:jc w:val="center"/>
            </w:pPr>
            <w:r/>
            <w:r>
              <w:rPr>
                <w:rFonts w:ascii="Times New Roman" w:hAnsi="Times New Roman"/>
                <w:b/>
                <w:color w:val="FFFFFF"/>
                <w:sz w:val="22"/>
              </w:rPr>
              <w:t>Nghĩa vụ chính đối với PTSC</w:t>
            </w:r>
          </w:p>
        </w:tc>
        <w:tc>
          <w:tcPr>
            <w:tcW w:type="dxa" w:w="2835"/>
            <w:shd w:fill="1B3A5C"/>
          </w:tcPr>
          <w:p>
            <w:pPr>
              <w:jc w:val="center"/>
            </w:pPr>
            <w:r/>
            <w:r>
              <w:rPr>
                <w:rFonts w:ascii="Times New Roman" w:hAnsi="Times New Roman"/>
                <w:b/>
                <w:color w:val="FFFFFF"/>
                <w:sz w:val="22"/>
              </w:rPr>
              <w:t>Triển khai tại QN</w:t>
            </w:r>
          </w:p>
        </w:tc>
      </w:tr>
      <w:tr>
        <w:tc>
          <w:tcPr>
            <w:tcW w:type="dxa" w:w="2268"/>
          </w:tcPr>
          <w:p>
            <w:r/>
            <w:r>
              <w:rPr>
                <w:rFonts w:ascii="Times New Roman" w:hAnsi="Times New Roman"/>
                <w:sz w:val="22"/>
              </w:rPr>
              <w:t>Luật BVDLCN (91/2025/QH15)</w:t>
            </w:r>
          </w:p>
        </w:tc>
        <w:tc>
          <w:tcPr>
            <w:tcW w:type="dxa" w:w="1417"/>
          </w:tcPr>
          <w:p>
            <w:r/>
            <w:r>
              <w:rPr>
                <w:rFonts w:ascii="Times New Roman" w:hAnsi="Times New Roman"/>
                <w:sz w:val="22"/>
              </w:rPr>
              <w:t>01/01/2026</w:t>
            </w:r>
          </w:p>
        </w:tc>
        <w:tc>
          <w:tcPr>
            <w:tcW w:type="dxa" w:w="2835"/>
          </w:tcPr>
          <w:p>
            <w:r/>
            <w:r>
              <w:rPr>
                <w:rFonts w:ascii="Times New Roman" w:hAnsi="Times New Roman"/>
                <w:sz w:val="22"/>
              </w:rPr>
              <w:t>Quy chế xử lý DLCN; hồ sơ DPIA; thông báo vi phạm 72 giờ</w:t>
            </w:r>
          </w:p>
        </w:tc>
        <w:tc>
          <w:tcPr>
            <w:tcW w:type="dxa" w:w="2835"/>
          </w:tcPr>
          <w:p>
            <w:r/>
            <w:r>
              <w:rPr>
                <w:rFonts w:ascii="Times New Roman" w:hAnsi="Times New Roman"/>
                <w:sz w:val="22"/>
              </w:rPr>
              <w:t>Gắn nhãn DLCN trong Data Catalog; che dữ liệu nhạy cảm; kịch bản phản ứng vi phạm 72 giờ</w:t>
            </w:r>
          </w:p>
        </w:tc>
      </w:tr>
      <w:tr>
        <w:tc>
          <w:tcPr>
            <w:tcW w:type="dxa" w:w="2268"/>
            <w:shd w:fill="EFF6FF"/>
          </w:tcPr>
          <w:p>
            <w:r/>
            <w:r>
              <w:rPr>
                <w:rFonts w:ascii="Times New Roman" w:hAnsi="Times New Roman"/>
                <w:sz w:val="22"/>
              </w:rPr>
              <w:t>Luật An ninh mạng 2025</w:t>
            </w:r>
          </w:p>
        </w:tc>
        <w:tc>
          <w:tcPr>
            <w:tcW w:type="dxa" w:w="1417"/>
            <w:shd w:fill="EFF6FF"/>
          </w:tcPr>
          <w:p>
            <w:r/>
            <w:r>
              <w:rPr>
                <w:rFonts w:ascii="Times New Roman" w:hAnsi="Times New Roman"/>
                <w:sz w:val="22"/>
              </w:rPr>
              <w:t>2025</w:t>
            </w:r>
          </w:p>
        </w:tc>
        <w:tc>
          <w:tcPr>
            <w:tcW w:type="dxa" w:w="2835"/>
            <w:shd w:fill="EFF6FF"/>
          </w:tcPr>
          <w:p>
            <w:r/>
            <w:r>
              <w:rPr>
                <w:rFonts w:ascii="Times New Roman" w:hAnsi="Times New Roman"/>
                <w:sz w:val="22"/>
              </w:rPr>
              <w:t>Phân loại hệ thống theo cấp độ an toàn; thẩm định trước vận hành</w:t>
            </w:r>
          </w:p>
        </w:tc>
        <w:tc>
          <w:tcPr>
            <w:tcW w:type="dxa" w:w="2835"/>
            <w:shd w:fill="EFF6FF"/>
          </w:tcPr>
          <w:p>
            <w:r/>
            <w:r>
              <w:rPr>
                <w:rFonts w:ascii="Times New Roman" w:hAnsi="Times New Roman"/>
                <w:sz w:val="22"/>
              </w:rPr>
              <w:t>Audit log đổ về SIEM Hub TCT; thẩm định an ninh trước go-live</w:t>
            </w:r>
          </w:p>
        </w:tc>
      </w:tr>
      <w:tr>
        <w:tc>
          <w:tcPr>
            <w:tcW w:type="dxa" w:w="2268"/>
          </w:tcPr>
          <w:p>
            <w:r/>
            <w:r>
              <w:rPr>
                <w:rFonts w:ascii="Times New Roman" w:hAnsi="Times New Roman"/>
                <w:sz w:val="22"/>
              </w:rPr>
              <w:t>Luật Dữ liệu (60/2024/QH15)</w:t>
            </w:r>
          </w:p>
        </w:tc>
        <w:tc>
          <w:tcPr>
            <w:tcW w:type="dxa" w:w="1417"/>
          </w:tcPr>
          <w:p>
            <w:r/>
            <w:r>
              <w:rPr>
                <w:rFonts w:ascii="Times New Roman" w:hAnsi="Times New Roman"/>
                <w:sz w:val="22"/>
              </w:rPr>
              <w:t>01/07/2025</w:t>
            </w:r>
          </w:p>
        </w:tc>
        <w:tc>
          <w:tcPr>
            <w:tcW w:type="dxa" w:w="2835"/>
          </w:tcPr>
          <w:p>
            <w:r/>
            <w:r>
              <w:rPr>
                <w:rFonts w:ascii="Times New Roman" w:hAnsi="Times New Roman"/>
                <w:sz w:val="22"/>
              </w:rPr>
              <w:t>Phân loại dữ liệu cốt lõi / quan trọng; điều kiện chuyển xuyên biên giới</w:t>
            </w:r>
          </w:p>
        </w:tc>
        <w:tc>
          <w:tcPr>
            <w:tcW w:type="dxa" w:w="2835"/>
          </w:tcPr>
          <w:p>
            <w:r/>
            <w:r>
              <w:rPr>
                <w:rFonts w:ascii="Times New Roman" w:hAnsi="Times New Roman"/>
                <w:sz w:val="22"/>
              </w:rPr>
              <w:t>Dữ liệu quan trọng giữ On-Premise; Cloud chỉ nhận tổng hợp</w:t>
            </w:r>
          </w:p>
        </w:tc>
      </w:tr>
      <w:tr>
        <w:tc>
          <w:tcPr>
            <w:tcW w:type="dxa" w:w="2268"/>
            <w:shd w:fill="EFF6FF"/>
          </w:tcPr>
          <w:p>
            <w:r/>
            <w:r>
              <w:rPr>
                <w:rFonts w:ascii="Times New Roman" w:hAnsi="Times New Roman"/>
                <w:sz w:val="22"/>
              </w:rPr>
              <w:t>Luật Chuyển đổi số (12/2025)</w:t>
            </w:r>
          </w:p>
        </w:tc>
        <w:tc>
          <w:tcPr>
            <w:tcW w:type="dxa" w:w="1417"/>
            <w:shd w:fill="EFF6FF"/>
          </w:tcPr>
          <w:p>
            <w:r/>
            <w:r>
              <w:rPr>
                <w:rFonts w:ascii="Times New Roman" w:hAnsi="Times New Roman"/>
                <w:sz w:val="22"/>
              </w:rPr>
              <w:t>2025</w:t>
            </w:r>
          </w:p>
        </w:tc>
        <w:tc>
          <w:tcPr>
            <w:tcW w:type="dxa" w:w="2835"/>
            <w:shd w:fill="EFF6FF"/>
          </w:tcPr>
          <w:p>
            <w:r/>
            <w:r>
              <w:rPr>
                <w:rFonts w:ascii="Times New Roman" w:hAnsi="Times New Roman"/>
                <w:sz w:val="22"/>
              </w:rPr>
              <w:t>Khung nền tảng số dùng chung quốc gia; không đầu tư trùng lặp</w:t>
            </w:r>
          </w:p>
        </w:tc>
        <w:tc>
          <w:tcPr>
            <w:tcW w:type="dxa" w:w="2835"/>
            <w:shd w:fill="EFF6FF"/>
          </w:tcPr>
          <w:p>
            <w:r/>
            <w:r>
              <w:rPr>
                <w:rFonts w:ascii="Times New Roman" w:hAnsi="Times New Roman"/>
                <w:sz w:val="22"/>
              </w:rPr>
              <w:t>Kiến trúc mở, API chuẩn sẵn sàng kết nối nền tảng quốc gia</w:t>
            </w:r>
          </w:p>
        </w:tc>
      </w:tr>
    </w:tbl>
    <w:p>
      <w:pPr>
        <w:pStyle w:val="Heading2"/>
      </w:pPr>
      <w:r>
        <w:rPr>
          <w:rFonts w:ascii="Times New Roman" w:hAnsi="Times New Roman"/>
          <w:color w:val="1B3A5C"/>
        </w:rPr>
        <w:t>3. Vị thế mô hình Level 3 của PTSC Quảng Ngãi</w:t>
      </w:r>
    </w:p>
    <w:p>
      <w:pPr>
        <w:spacing w:after="120"/>
      </w:pPr>
      <w:r>
        <w:rPr>
          <w:rFonts w:ascii="Times New Roman" w:hAnsi="Times New Roman"/>
          <w:b w:val="0"/>
          <w:i w:val="0"/>
          <w:sz w:val="26"/>
        </w:rPr>
        <w:t>PTSC Quảng Ngãi được TCT xác định triển khai ở Level 3 là tối ưu nhất vì:</w:t>
      </w:r>
    </w:p>
    <w:p>
      <w:pPr>
        <w:pStyle w:val="ListBullet"/>
        <w:ind w:left="567"/>
      </w:pPr>
      <w:r>
        <w:rPr>
          <w:rFonts w:ascii="Times New Roman" w:hAnsi="Times New Roman"/>
          <w:b/>
          <w:sz w:val="26"/>
        </w:rPr>
        <w:t xml:space="preserve">Tiết kiệm ngân sách tối đa: </w:t>
      </w:r>
      <w:r>
        <w:rPr>
          <w:rFonts w:ascii="Times New Roman" w:hAnsi="Times New Roman"/>
          <w:sz w:val="26"/>
        </w:rPr>
        <w:t>Không phải bỏ hàng tỷ đồng mua sắm cụm máy chủ siêu hội tụ (dHCI).</w:t>
      </w:r>
    </w:p>
    <w:p>
      <w:pPr>
        <w:pStyle w:val="ListBullet"/>
        <w:ind w:left="567"/>
      </w:pPr>
      <w:r>
        <w:rPr>
          <w:rFonts w:ascii="Times New Roman" w:hAnsi="Times New Roman"/>
          <w:b/>
          <w:sz w:val="26"/>
        </w:rPr>
        <w:t xml:space="preserve">Bảo mật &amp; Không gian riêng biệt: </w:t>
      </w:r>
      <w:r>
        <w:rPr>
          <w:rFonts w:ascii="Times New Roman" w:hAnsi="Times New Roman"/>
          <w:sz w:val="26"/>
        </w:rPr>
        <w:t>QN được cấp 01 Tenant/Workspace riêng trên Microsoft Fabric, dữ liệu cô lập bằng RLS và OLS.</w:t>
      </w:r>
    </w:p>
    <w:p>
      <w:pPr>
        <w:pStyle w:val="ListBullet"/>
        <w:ind w:left="567"/>
      </w:pPr>
      <w:r>
        <w:rPr>
          <w:rFonts w:ascii="Times New Roman" w:hAnsi="Times New Roman"/>
          <w:b/>
          <w:sz w:val="26"/>
        </w:rPr>
        <w:t xml:space="preserve">Lộ trình mở: </w:t>
      </w:r>
      <w:r>
        <w:rPr>
          <w:rFonts w:ascii="Times New Roman" w:hAnsi="Times New Roman"/>
          <w:sz w:val="26"/>
        </w:rPr>
        <w:t>TCT có cơ chế đánh giá định kỳ hàng năm; sau 2028, QN có thể đề xuất nâng cấp lên Level 4.</w:t>
      </w:r>
    </w:p>
    <w:p>
      <w:pPr>
        <w:pStyle w:val="Heading1"/>
      </w:pPr>
      <w:r>
        <w:rPr>
          <w:rFonts w:ascii="Times New Roman" w:hAnsi="Times New Roman"/>
          <w:color w:val="1B3A5C"/>
        </w:rPr>
        <w:t>PHẦN II: MỤC TIÊU KÉP &amp; GIÁ TRỊ THỰC TIỄN CHO BAN GIÁM ĐỐC</w:t>
      </w:r>
    </w:p>
    <w:p>
      <w:pPr>
        <w:spacing w:after="120"/>
      </w:pPr>
      <w:r>
        <w:rPr>
          <w:rFonts w:ascii="Times New Roman" w:hAnsi="Times New Roman"/>
          <w:b/>
          <w:i w:val="0"/>
          <w:sz w:val="26"/>
        </w:rPr>
        <w:t>Dự án thực hiện theo nguyên tắc Mục tiêu kép: (1) Hoàn thành nhiệm vụ TCT giao; (2) Trang bị tiện ích điều hành thực tế cho Ban Giám đốc.</w:t>
      </w:r>
    </w:p>
    <w:p>
      <w:pPr>
        <w:pStyle w:val="Heading2"/>
      </w:pPr>
      <w:r>
        <w:rPr>
          <w:rFonts w:ascii="Times New Roman" w:hAnsi="Times New Roman"/>
          <w:color w:val="1B3A5C"/>
        </w:rPr>
        <w:t>Bộ 4 Dashboard điều hành phục vụ Ban Giám đốc:</w:t>
      </w:r>
    </w:p>
    <w:p>
      <w:pPr>
        <w:pStyle w:val="ListBullet"/>
        <w:ind w:left="567"/>
      </w:pPr>
      <w:r>
        <w:rPr>
          <w:rFonts w:ascii="Times New Roman" w:hAnsi="Times New Roman"/>
          <w:b/>
          <w:sz w:val="26"/>
        </w:rPr>
        <w:t xml:space="preserve">1. Dashboard Xưởng Cơ khí Dung Quất (MESx/PMSx): </w:t>
      </w:r>
      <w:r>
        <w:rPr>
          <w:rFonts w:ascii="Times New Roman" w:hAnsi="Times New Roman"/>
          <w:sz w:val="26"/>
        </w:rPr>
        <w:t>Theo dõi tiến độ gia công, hao hụt vật tư thép/que hàn, năng suất lao động theo ca kíp.</w:t>
      </w:r>
    </w:p>
    <w:p>
      <w:pPr>
        <w:pStyle w:val="ListBullet"/>
        <w:ind w:left="567"/>
      </w:pPr>
      <w:r>
        <w:rPr>
          <w:rFonts w:ascii="Times New Roman" w:hAnsi="Times New Roman"/>
          <w:b/>
          <w:sz w:val="26"/>
        </w:rPr>
        <w:t xml:space="preserve">2. Dashboard Khai thác Cảng &amp; Đội tàu (VTI/IRTECH): </w:t>
      </w:r>
      <w:r>
        <w:rPr>
          <w:rFonts w:ascii="Times New Roman" w:hAnsi="Times New Roman"/>
          <w:sz w:val="26"/>
        </w:rPr>
        <w:t>Sản lượng hàng thông qua cảng, tỷ lệ lấp đầy bãi, nhật trình xe cẩu và tàu lai dắt.</w:t>
      </w:r>
    </w:p>
    <w:p>
      <w:pPr>
        <w:pStyle w:val="ListBullet"/>
        <w:ind w:left="567"/>
      </w:pPr>
      <w:r>
        <w:rPr>
          <w:rFonts w:ascii="Times New Roman" w:hAnsi="Times New Roman"/>
          <w:b/>
          <w:sz w:val="26"/>
        </w:rPr>
        <w:t xml:space="preserve">3. Dashboard Tài chính &amp; Dòng tiền (FAST): </w:t>
      </w:r>
      <w:r>
        <w:rPr>
          <w:rFonts w:ascii="Times New Roman" w:hAnsi="Times New Roman"/>
          <w:sz w:val="26"/>
        </w:rPr>
        <w:t>Doanh thu – Chi phí – Công nợ theo từng hợp đồng; Dự báo dòng tiền 30–60 ngày.</w:t>
      </w:r>
    </w:p>
    <w:p>
      <w:pPr>
        <w:pStyle w:val="ListBullet"/>
        <w:ind w:left="567"/>
      </w:pPr>
      <w:r>
        <w:rPr>
          <w:rFonts w:ascii="Times New Roman" w:hAnsi="Times New Roman"/>
          <w:b/>
          <w:sz w:val="26"/>
        </w:rPr>
        <w:t xml:space="preserve">4. Dashboard An toàn &amp; Tuân thủ (HSEQ): </w:t>
      </w:r>
      <w:r>
        <w:rPr>
          <w:rFonts w:ascii="Times New Roman" w:hAnsi="Times New Roman"/>
          <w:sz w:val="26"/>
        </w:rPr>
        <w:t>Giờ làm việc an toàn (Man-hours without LTI); Biên bản kiến nghị an toàn.</w:t>
      </w:r>
    </w:p>
    <w:p>
      <w:pPr>
        <w:pStyle w:val="Heading1"/>
      </w:pPr>
      <w:r>
        <w:rPr>
          <w:rFonts w:ascii="Times New Roman" w:hAnsi="Times New Roman"/>
          <w:color w:val="1B3A5C"/>
        </w:rPr>
        <w:t>PHẦN III: PHƯƠNG ÁN ĐỐI TÁC &amp; CƠ CHẾ LÀM VIỆC VỚI TCT</w:t>
      </w:r>
    </w:p>
    <w:p>
      <w:pPr>
        <w:pStyle w:val="Heading2"/>
      </w:pPr>
      <w:r>
        <w:rPr>
          <w:rFonts w:ascii="Times New Roman" w:hAnsi="Times New Roman"/>
          <w:color w:val="1B3A5C"/>
        </w:rPr>
        <w:t>1. Chiến lược thuê chính Nhà cung cấp Data Platform của TCT</w:t>
      </w:r>
    </w:p>
    <w:p>
      <w:pPr>
        <w:pStyle w:val="ListBullet"/>
        <w:ind w:left="567"/>
      </w:pPr>
      <w:r>
        <w:rPr>
          <w:rFonts w:ascii="Times New Roman" w:hAnsi="Times New Roman"/>
          <w:sz w:val="26"/>
        </w:rPr>
        <w:t>Hiểu sâu kiến trúc TCT: Đã thiết kế toàn bộ Lakehouse, PPDM Dual-Code, MDM và trục tích hợp.</w:t>
      </w:r>
    </w:p>
    <w:p>
      <w:pPr>
        <w:pStyle w:val="ListBullet"/>
        <w:ind w:left="567"/>
      </w:pPr>
      <w:r>
        <w:rPr>
          <w:rFonts w:ascii="Times New Roman" w:hAnsi="Times New Roman"/>
          <w:sz w:val="26"/>
        </w:rPr>
        <w:t>Đảm bảo tích hợp 100% ngay từ đầu, tránh rủi ro bị TCT từ chối nghiệm thu.</w:t>
      </w:r>
    </w:p>
    <w:p>
      <w:pPr>
        <w:pStyle w:val="ListBullet"/>
        <w:ind w:left="567"/>
      </w:pPr>
      <w:r>
        <w:rPr>
          <w:rFonts w:ascii="Times New Roman" w:hAnsi="Times New Roman"/>
          <w:sz w:val="26"/>
        </w:rPr>
        <w:t>Rút ngắn thời gian: Hoàn thành trong vòng 14–16 tuần (so với 5–6 tháng nếu thuê đơn vị mới).</w:t>
      </w:r>
    </w:p>
    <w:p>
      <w:pPr>
        <w:pStyle w:val="Heading2"/>
      </w:pPr>
      <w:r>
        <w:rPr>
          <w:rFonts w:ascii="Times New Roman" w:hAnsi="Times New Roman"/>
          <w:color w:val="1B3A5C"/>
        </w:rPr>
        <w:t>2. Cơ chế pháp lý &amp; Làm việc với Tổng công ty</w:t>
      </w:r>
    </w:p>
    <w:p>
      <w:pPr>
        <w:spacing w:after="120"/>
      </w:pPr>
      <w:r>
        <w:rPr>
          <w:rFonts w:ascii="Times New Roman" w:hAnsi="Times New Roman"/>
          <w:b w:val="0"/>
          <w:i w:val="0"/>
          <w:sz w:val="26"/>
        </w:rPr>
        <w:t>TCT đã hướng dẫn: "Muốn làm việc với Nhà cung cấp thì phải làm công văn gửi lên Tổng công ty". Đề xuất 2 cơ chế:</w:t>
      </w:r>
    </w:p>
    <w:p>
      <w:pPr>
        <w:pStyle w:val="ListBullet"/>
        <w:ind w:left="567"/>
      </w:pPr>
      <w:r>
        <w:rPr>
          <w:rFonts w:ascii="Times New Roman" w:hAnsi="Times New Roman"/>
          <w:b/>
          <w:sz w:val="26"/>
        </w:rPr>
        <w:t xml:space="preserve">Cơ chế 1 (Ưu tiên): </w:t>
      </w:r>
      <w:r>
        <w:rPr>
          <w:rFonts w:ascii="Times New Roman" w:hAnsi="Times New Roman"/>
          <w:sz w:val="26"/>
        </w:rPr>
        <w:t>Xin chủ trương cho TCT ký Phụ lục hợp đồng mở rộng gói thầu Data Platform hiện hữu. Kinh phí do PTSC Quảng Ngãi tự cân đối.</w:t>
      </w:r>
    </w:p>
    <w:p>
      <w:pPr>
        <w:pStyle w:val="ListBullet"/>
        <w:ind w:left="567"/>
      </w:pPr>
      <w:r>
        <w:rPr>
          <w:rFonts w:ascii="Times New Roman" w:hAnsi="Times New Roman"/>
          <w:b/>
          <w:sz w:val="26"/>
        </w:rPr>
        <w:t xml:space="preserve">Cơ chế 2 (Dự phòng): </w:t>
      </w:r>
      <w:r>
        <w:rPr>
          <w:rFonts w:ascii="Times New Roman" w:hAnsi="Times New Roman"/>
          <w:sz w:val="26"/>
        </w:rPr>
        <w:t>TCT chấp thuận để PTSC QN ký Hợp đồng dịch vụ trực tiếp với NCC theo hình thức mua sắm dịch vụ công nghệ tương thích.</w:t>
      </w:r>
    </w:p>
    <w:p>
      <w:pPr>
        <w:pStyle w:val="Heading2"/>
      </w:pPr>
      <w:r>
        <w:rPr>
          <w:rFonts w:ascii="Times New Roman" w:hAnsi="Times New Roman"/>
          <w:color w:val="1B3A5C"/>
        </w:rPr>
        <w:t>3. Mô hình phối hợp 3 bên</w:t>
      </w:r>
    </w:p>
    <w:tbl>
      <w:tblPr>
        <w:tblStyle w:val="TableGrid"/>
        <w:tblW w:type="auto" w:w="0"/>
        <w:jc w:val="center"/>
        <w:tblLook w:firstColumn="1" w:firstRow="1" w:lastColumn="0" w:lastRow="0" w:noHBand="0" w:noVBand="1" w:val="04A0"/>
      </w:tblPr>
      <w:tblGrid>
        <w:gridCol w:w="3230"/>
        <w:gridCol w:w="3230"/>
        <w:gridCol w:w="3230"/>
      </w:tblGrid>
      <w:tr>
        <w:tc>
          <w:tcPr>
            <w:tcW w:type="dxa" w:w="2268"/>
            <w:shd w:fill="1B3A5C"/>
          </w:tcPr>
          <w:p>
            <w:pPr>
              <w:jc w:val="center"/>
            </w:pPr>
            <w:r/>
            <w:r>
              <w:rPr>
                <w:rFonts w:ascii="Times New Roman" w:hAnsi="Times New Roman"/>
                <w:b/>
                <w:color w:val="FFFFFF"/>
                <w:sz w:val="22"/>
              </w:rPr>
              <w:t>Bên</w:t>
            </w:r>
          </w:p>
        </w:tc>
        <w:tc>
          <w:tcPr>
            <w:tcW w:type="dxa" w:w="2268"/>
            <w:shd w:fill="1B3A5C"/>
          </w:tcPr>
          <w:p>
            <w:pPr>
              <w:jc w:val="center"/>
            </w:pPr>
            <w:r/>
            <w:r>
              <w:rPr>
                <w:rFonts w:ascii="Times New Roman" w:hAnsi="Times New Roman"/>
                <w:b/>
                <w:color w:val="FFFFFF"/>
                <w:sz w:val="22"/>
              </w:rPr>
              <w:t>Vai trò</w:t>
            </w:r>
          </w:p>
        </w:tc>
        <w:tc>
          <w:tcPr>
            <w:tcW w:type="dxa" w:w="4819"/>
            <w:shd w:fill="1B3A5C"/>
          </w:tcPr>
          <w:p>
            <w:pPr>
              <w:jc w:val="center"/>
            </w:pPr>
            <w:r/>
            <w:r>
              <w:rPr>
                <w:rFonts w:ascii="Times New Roman" w:hAnsi="Times New Roman"/>
                <w:b/>
                <w:color w:val="FFFFFF"/>
                <w:sz w:val="22"/>
              </w:rPr>
              <w:t>Trách nhiệm cụ thể</w:t>
            </w:r>
          </w:p>
        </w:tc>
      </w:tr>
      <w:tr>
        <w:tc>
          <w:tcPr>
            <w:tcW w:type="dxa" w:w="2268"/>
          </w:tcPr>
          <w:p>
            <w:r/>
            <w:r>
              <w:rPr>
                <w:rFonts w:ascii="Times New Roman" w:hAnsi="Times New Roman"/>
                <w:sz w:val="22"/>
              </w:rPr>
              <w:t>PTSC Quảng Ngãi</w:t>
            </w:r>
          </w:p>
        </w:tc>
        <w:tc>
          <w:tcPr>
            <w:tcW w:type="dxa" w:w="2268"/>
          </w:tcPr>
          <w:p>
            <w:r/>
            <w:r>
              <w:rPr>
                <w:rFonts w:ascii="Times New Roman" w:hAnsi="Times New Roman"/>
                <w:sz w:val="22"/>
              </w:rPr>
              <w:t>Cầm trịch Pháp lý &amp; Hợp đồng</w:t>
            </w:r>
          </w:p>
        </w:tc>
        <w:tc>
          <w:tcPr>
            <w:tcW w:type="dxa" w:w="4819"/>
          </w:tcPr>
          <w:p>
            <w:r/>
            <w:r>
              <w:rPr>
                <w:rFonts w:ascii="Times New Roman" w:hAnsi="Times New Roman"/>
                <w:sz w:val="22"/>
              </w:rPr>
              <w:t>Ra văn bản hành chính bắt buộc; Cấp quyền SA/Admin On-Premise; Ký nghiệm thu</w:t>
            </w:r>
          </w:p>
        </w:tc>
      </w:tr>
      <w:tr>
        <w:tc>
          <w:tcPr>
            <w:tcW w:type="dxa" w:w="2268"/>
            <w:shd w:fill="EFF6FF"/>
          </w:tcPr>
          <w:p>
            <w:r/>
            <w:r>
              <w:rPr>
                <w:rFonts w:ascii="Times New Roman" w:hAnsi="Times New Roman"/>
                <w:sz w:val="22"/>
              </w:rPr>
              <w:t>NCC Data Platform</w:t>
            </w:r>
          </w:p>
        </w:tc>
        <w:tc>
          <w:tcPr>
            <w:tcW w:type="dxa" w:w="2268"/>
            <w:shd w:fill="EFF6FF"/>
          </w:tcPr>
          <w:p>
            <w:r/>
            <w:r>
              <w:rPr>
                <w:rFonts w:ascii="Times New Roman" w:hAnsi="Times New Roman"/>
                <w:sz w:val="22"/>
              </w:rPr>
              <w:t>Chủ trì Kỹ thuật Tích hợp</w:t>
            </w:r>
          </w:p>
        </w:tc>
        <w:tc>
          <w:tcPr>
            <w:tcW w:type="dxa" w:w="4819"/>
            <w:shd w:fill="EFF6FF"/>
          </w:tcPr>
          <w:p>
            <w:r/>
            <w:r>
              <w:rPr>
                <w:rFonts w:ascii="Times New Roman" w:hAnsi="Times New Roman"/>
                <w:sz w:val="22"/>
              </w:rPr>
              <w:t>Họp kỹ thuật với FAST, MESx, VTI; Viết Pipeline &amp; Schema mapping; Xây dựng Dashboard</w:t>
            </w:r>
          </w:p>
        </w:tc>
      </w:tr>
      <w:tr>
        <w:tc>
          <w:tcPr>
            <w:tcW w:type="dxa" w:w="2268"/>
          </w:tcPr>
          <w:p>
            <w:r/>
            <w:r>
              <w:rPr>
                <w:rFonts w:ascii="Times New Roman" w:hAnsi="Times New Roman"/>
                <w:sz w:val="22"/>
              </w:rPr>
              <w:t>NCC Phần mềm (FAST, MESx, VTI)</w:t>
            </w:r>
          </w:p>
        </w:tc>
        <w:tc>
          <w:tcPr>
            <w:tcW w:type="dxa" w:w="2268"/>
          </w:tcPr>
          <w:p>
            <w:r/>
            <w:r>
              <w:rPr>
                <w:rFonts w:ascii="Times New Roman" w:hAnsi="Times New Roman"/>
                <w:sz w:val="22"/>
              </w:rPr>
              <w:t>Tuân thủ 13 Tiêu chí TCT</w:t>
            </w:r>
          </w:p>
        </w:tc>
        <w:tc>
          <w:tcPr>
            <w:tcW w:type="dxa" w:w="4819"/>
          </w:tcPr>
          <w:p>
            <w:r/>
            <w:r>
              <w:rPr>
                <w:rFonts w:ascii="Times New Roman" w:hAnsi="Times New Roman"/>
                <w:sz w:val="22"/>
              </w:rPr>
              <w:t>Cung cấp ERD / Data Dictionary; Mở API hoặc hỗ trợ CDC; Bảo đảm Backward Compatible</w:t>
            </w:r>
          </w:p>
        </w:tc>
      </w:tr>
    </w:tbl>
    <w:p>
      <w:pPr>
        <w:pStyle w:val="Heading1"/>
      </w:pPr>
      <w:r>
        <w:rPr>
          <w:rFonts w:ascii="Times New Roman" w:hAnsi="Times New Roman"/>
          <w:color w:val="1B3A5C"/>
        </w:rPr>
        <w:t>PHẦN IV: HIỆN TRẠNG HỆ THỐNG &amp; THUẬN LỢI CỦA QUẢNG NGÃI</w:t>
      </w:r>
    </w:p>
    <w:p>
      <w:pPr>
        <w:spacing w:after="120"/>
      </w:pPr>
      <w:r>
        <w:rPr>
          <w:rFonts w:ascii="Times New Roman" w:hAnsi="Times New Roman"/>
          <w:b w:val="0"/>
          <w:i w:val="0"/>
          <w:sz w:val="26"/>
        </w:rPr>
        <w:t>Toàn bộ máy chủ CSDL đặt tại On-Premise và IT QN làm chủ quyền quản trị cao nhất (SA/Admin). Đây là lợi thế tuyệt đối:</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701"/>
            <w:shd w:fill="1B3A5C"/>
          </w:tcPr>
          <w:p>
            <w:pPr>
              <w:jc w:val="center"/>
            </w:pPr>
            <w:r/>
            <w:r>
              <w:rPr>
                <w:rFonts w:ascii="Times New Roman" w:hAnsi="Times New Roman"/>
                <w:b/>
                <w:color w:val="FFFFFF"/>
                <w:sz w:val="22"/>
              </w:rPr>
              <w:t>Phần mềm</w:t>
            </w:r>
          </w:p>
        </w:tc>
        <w:tc>
          <w:tcPr>
            <w:tcW w:type="dxa" w:w="2268"/>
            <w:shd w:fill="1B3A5C"/>
          </w:tcPr>
          <w:p>
            <w:pPr>
              <w:jc w:val="center"/>
            </w:pPr>
            <w:r/>
            <w:r>
              <w:rPr>
                <w:rFonts w:ascii="Times New Roman" w:hAnsi="Times New Roman"/>
                <w:b/>
                <w:color w:val="FFFFFF"/>
                <w:sz w:val="22"/>
              </w:rPr>
              <w:t>Phạm vi</w:t>
            </w:r>
          </w:p>
        </w:tc>
        <w:tc>
          <w:tcPr>
            <w:tcW w:type="dxa" w:w="1417"/>
            <w:shd w:fill="1B3A5C"/>
          </w:tcPr>
          <w:p>
            <w:pPr>
              <w:jc w:val="center"/>
            </w:pPr>
            <w:r/>
            <w:r>
              <w:rPr>
                <w:rFonts w:ascii="Times New Roman" w:hAnsi="Times New Roman"/>
                <w:b/>
                <w:color w:val="FFFFFF"/>
                <w:sz w:val="22"/>
              </w:rPr>
              <w:t>Hệ QTCSDL</w:t>
            </w:r>
          </w:p>
        </w:tc>
        <w:tc>
          <w:tcPr>
            <w:tcW w:type="dxa" w:w="1417"/>
            <w:shd w:fill="1B3A5C"/>
          </w:tcPr>
          <w:p>
            <w:pPr>
              <w:jc w:val="center"/>
            </w:pPr>
            <w:r/>
            <w:r>
              <w:rPr>
                <w:rFonts w:ascii="Times New Roman" w:hAnsi="Times New Roman"/>
                <w:b/>
                <w:color w:val="FFFFFF"/>
                <w:sz w:val="22"/>
              </w:rPr>
              <w:t>Hạ tầng</w:t>
            </w:r>
          </w:p>
        </w:tc>
        <w:tc>
          <w:tcPr>
            <w:tcW w:type="dxa" w:w="2551"/>
            <w:shd w:fill="1B3A5C"/>
          </w:tcPr>
          <w:p>
            <w:pPr>
              <w:jc w:val="center"/>
            </w:pPr>
            <w:r/>
            <w:r>
              <w:rPr>
                <w:rFonts w:ascii="Times New Roman" w:hAnsi="Times New Roman"/>
                <w:b/>
                <w:color w:val="FFFFFF"/>
                <w:sz w:val="22"/>
              </w:rPr>
              <w:t>Đánh giá</w:t>
            </w:r>
          </w:p>
        </w:tc>
      </w:tr>
      <w:tr>
        <w:tc>
          <w:tcPr>
            <w:tcW w:type="dxa" w:w="1701"/>
          </w:tcPr>
          <w:p>
            <w:r/>
            <w:r>
              <w:rPr>
                <w:rFonts w:ascii="Times New Roman" w:hAnsi="Times New Roman"/>
                <w:sz w:val="22"/>
              </w:rPr>
              <w:t>FAST Accounting</w:t>
            </w:r>
          </w:p>
        </w:tc>
        <w:tc>
          <w:tcPr>
            <w:tcW w:type="dxa" w:w="2268"/>
          </w:tcPr>
          <w:p>
            <w:r/>
            <w:r>
              <w:rPr>
                <w:rFonts w:ascii="Times New Roman" w:hAnsi="Times New Roman"/>
                <w:sz w:val="22"/>
              </w:rPr>
              <w:t>Kế toán, Hóa đơn, Chi phí dự án</w:t>
            </w:r>
          </w:p>
        </w:tc>
        <w:tc>
          <w:tcPr>
            <w:tcW w:type="dxa" w:w="1417"/>
          </w:tcPr>
          <w:p>
            <w:r/>
            <w:r>
              <w:rPr>
                <w:rFonts w:ascii="Times New Roman" w:hAnsi="Times New Roman"/>
                <w:sz w:val="22"/>
              </w:rPr>
              <w:t>SQL Server</w:t>
            </w:r>
          </w:p>
        </w:tc>
        <w:tc>
          <w:tcPr>
            <w:tcW w:type="dxa" w:w="1417"/>
          </w:tcPr>
          <w:p>
            <w:r/>
            <w:r>
              <w:rPr>
                <w:rFonts w:ascii="Times New Roman" w:hAnsi="Times New Roman"/>
                <w:sz w:val="22"/>
              </w:rPr>
              <w:t>On-Premise</w:t>
            </w:r>
          </w:p>
        </w:tc>
        <w:tc>
          <w:tcPr>
            <w:tcW w:type="dxa" w:w="2551"/>
          </w:tcPr>
          <w:p>
            <w:r/>
            <w:r>
              <w:rPr>
                <w:rFonts w:ascii="Times New Roman" w:hAnsi="Times New Roman"/>
                <w:sz w:val="22"/>
              </w:rPr>
              <w:t>Cực kỳ thuận lợi: Kích hoạt CDC trực tiếp</w:t>
            </w:r>
          </w:p>
        </w:tc>
      </w:tr>
      <w:tr>
        <w:tc>
          <w:tcPr>
            <w:tcW w:type="dxa" w:w="1701"/>
            <w:shd w:fill="EFF6FF"/>
          </w:tcPr>
          <w:p>
            <w:r/>
            <w:r>
              <w:rPr>
                <w:rFonts w:ascii="Times New Roman" w:hAnsi="Times New Roman"/>
                <w:sz w:val="22"/>
              </w:rPr>
              <w:t>MESx – PMSx</w:t>
            </w:r>
          </w:p>
        </w:tc>
        <w:tc>
          <w:tcPr>
            <w:tcW w:type="dxa" w:w="2268"/>
            <w:shd w:fill="EFF6FF"/>
          </w:tcPr>
          <w:p>
            <w:r/>
            <w:r>
              <w:rPr>
                <w:rFonts w:ascii="Times New Roman" w:hAnsi="Times New Roman"/>
                <w:sz w:val="22"/>
              </w:rPr>
              <w:t>Quản lý xưởng Dung Quất</w:t>
            </w:r>
          </w:p>
        </w:tc>
        <w:tc>
          <w:tcPr>
            <w:tcW w:type="dxa" w:w="1417"/>
            <w:shd w:fill="EFF6FF"/>
          </w:tcPr>
          <w:p>
            <w:r/>
            <w:r>
              <w:rPr>
                <w:rFonts w:ascii="Times New Roman" w:hAnsi="Times New Roman"/>
                <w:sz w:val="22"/>
              </w:rPr>
              <w:t>PostgreSQL</w:t>
            </w:r>
          </w:p>
        </w:tc>
        <w:tc>
          <w:tcPr>
            <w:tcW w:type="dxa" w:w="1417"/>
            <w:shd w:fill="EFF6FF"/>
          </w:tcPr>
          <w:p>
            <w:r/>
            <w:r>
              <w:rPr>
                <w:rFonts w:ascii="Times New Roman" w:hAnsi="Times New Roman"/>
                <w:sz w:val="22"/>
              </w:rPr>
              <w:t>On-Premise</w:t>
            </w:r>
          </w:p>
        </w:tc>
        <w:tc>
          <w:tcPr>
            <w:tcW w:type="dxa" w:w="2551"/>
            <w:shd w:fill="EFF6FF"/>
          </w:tcPr>
          <w:p>
            <w:r/>
            <w:r>
              <w:rPr>
                <w:rFonts w:ascii="Times New Roman" w:hAnsi="Times New Roman"/>
                <w:sz w:val="22"/>
              </w:rPr>
              <w:t>Thuận lợi: Tạo DB Replica để trích xuất</w:t>
            </w:r>
          </w:p>
        </w:tc>
      </w:tr>
      <w:tr>
        <w:tc>
          <w:tcPr>
            <w:tcW w:type="dxa" w:w="1701"/>
          </w:tcPr>
          <w:p>
            <w:r/>
            <w:r>
              <w:rPr>
                <w:rFonts w:ascii="Times New Roman" w:hAnsi="Times New Roman"/>
                <w:sz w:val="22"/>
              </w:rPr>
              <w:t>VTI / IRTECH</w:t>
            </w:r>
          </w:p>
        </w:tc>
        <w:tc>
          <w:tcPr>
            <w:tcW w:type="dxa" w:w="2268"/>
          </w:tcPr>
          <w:p>
            <w:r/>
            <w:r>
              <w:rPr>
                <w:rFonts w:ascii="Times New Roman" w:hAnsi="Times New Roman"/>
                <w:sz w:val="22"/>
              </w:rPr>
              <w:t>Khai thác Cảng, xe cẩu, tàu lai</w:t>
            </w:r>
          </w:p>
        </w:tc>
        <w:tc>
          <w:tcPr>
            <w:tcW w:type="dxa" w:w="1417"/>
          </w:tcPr>
          <w:p>
            <w:r/>
            <w:r>
              <w:rPr>
                <w:rFonts w:ascii="Times New Roman" w:hAnsi="Times New Roman"/>
                <w:sz w:val="22"/>
              </w:rPr>
              <w:t>RDBMS</w:t>
            </w:r>
          </w:p>
        </w:tc>
        <w:tc>
          <w:tcPr>
            <w:tcW w:type="dxa" w:w="1417"/>
          </w:tcPr>
          <w:p>
            <w:r/>
            <w:r>
              <w:rPr>
                <w:rFonts w:ascii="Times New Roman" w:hAnsi="Times New Roman"/>
                <w:sz w:val="22"/>
              </w:rPr>
              <w:t>On-Premise</w:t>
            </w:r>
          </w:p>
        </w:tc>
        <w:tc>
          <w:tcPr>
            <w:tcW w:type="dxa" w:w="2551"/>
          </w:tcPr>
          <w:p>
            <w:r/>
            <w:r>
              <w:rPr>
                <w:rFonts w:ascii="Times New Roman" w:hAnsi="Times New Roman"/>
                <w:sz w:val="22"/>
              </w:rPr>
              <w:t>Thuận lợi: JDBC/ODBC batch đêm</w:t>
            </w:r>
          </w:p>
        </w:tc>
      </w:tr>
      <w:tr>
        <w:tc>
          <w:tcPr>
            <w:tcW w:type="dxa" w:w="1701"/>
            <w:shd w:fill="EFF6FF"/>
          </w:tcPr>
          <w:p>
            <w:r/>
            <w:r>
              <w:rPr>
                <w:rFonts w:ascii="Times New Roman" w:hAnsi="Times New Roman"/>
                <w:sz w:val="22"/>
              </w:rPr>
              <w:t>HSEQ</w:t>
            </w:r>
          </w:p>
        </w:tc>
        <w:tc>
          <w:tcPr>
            <w:tcW w:type="dxa" w:w="2268"/>
            <w:shd w:fill="EFF6FF"/>
          </w:tcPr>
          <w:p>
            <w:r/>
            <w:r>
              <w:rPr>
                <w:rFonts w:ascii="Times New Roman" w:hAnsi="Times New Roman"/>
                <w:sz w:val="22"/>
              </w:rPr>
              <w:t>An toàn, sự cố lao động</w:t>
            </w:r>
          </w:p>
        </w:tc>
        <w:tc>
          <w:tcPr>
            <w:tcW w:type="dxa" w:w="1417"/>
            <w:shd w:fill="EFF6FF"/>
          </w:tcPr>
          <w:p>
            <w:r/>
            <w:r>
              <w:rPr>
                <w:rFonts w:ascii="Times New Roman" w:hAnsi="Times New Roman"/>
                <w:sz w:val="22"/>
              </w:rPr>
              <w:t>Web/CSDL nội bộ</w:t>
            </w:r>
          </w:p>
        </w:tc>
        <w:tc>
          <w:tcPr>
            <w:tcW w:type="dxa" w:w="1417"/>
            <w:shd w:fill="EFF6FF"/>
          </w:tcPr>
          <w:p>
            <w:r/>
            <w:r>
              <w:rPr>
                <w:rFonts w:ascii="Times New Roman" w:hAnsi="Times New Roman"/>
                <w:sz w:val="22"/>
              </w:rPr>
              <w:t>On-Premise</w:t>
            </w:r>
          </w:p>
        </w:tc>
        <w:tc>
          <w:tcPr>
            <w:tcW w:type="dxa" w:w="2551"/>
            <w:shd w:fill="EFF6FF"/>
          </w:tcPr>
          <w:p>
            <w:r/>
            <w:r>
              <w:rPr>
                <w:rFonts w:ascii="Times New Roman" w:hAnsi="Times New Roman"/>
                <w:sz w:val="22"/>
              </w:rPr>
              <w:t>Dễ tích hợp: Dung lượng gọn nhẹ</w:t>
            </w:r>
          </w:p>
        </w:tc>
      </w:tr>
    </w:tbl>
    <w:p>
      <w:pPr>
        <w:pStyle w:val="Heading1"/>
      </w:pPr>
      <w:r>
        <w:rPr>
          <w:rFonts w:ascii="Times New Roman" w:hAnsi="Times New Roman"/>
          <w:color w:val="1B3A5C"/>
        </w:rPr>
        <w:t>PHẦN V: WBS CHI TIẾT (WORK BREAKDOWN STRUCTURE)</w:t>
      </w:r>
    </w:p>
    <w:p>
      <w:pPr>
        <w:spacing w:after="120"/>
      </w:pPr>
      <w:r>
        <w:rPr>
          <w:rFonts w:ascii="Times New Roman" w:hAnsi="Times New Roman"/>
          <w:b/>
          <w:i w:val="0"/>
          <w:sz w:val="26"/>
        </w:rPr>
        <w:t>Dự án được phân rã thành 5 Gói công việc (Work Packages) thực hiện liên tục trong vòng 16 tuần (4 tháng):</w:t>
      </w:r>
    </w:p>
    <w:tbl>
      <w:tblPr>
        <w:tblStyle w:val="TableGrid"/>
        <w:tblW w:type="auto" w:w="0"/>
        <w:jc w:val="center"/>
        <w:tblLook w:firstColumn="1" w:firstRow="1" w:lastColumn="0" w:lastRow="0" w:noHBand="0" w:noVBand="1" w:val="04A0"/>
      </w:tblPr>
      <w:tblGrid>
        <w:gridCol w:w="3230"/>
        <w:gridCol w:w="3230"/>
        <w:gridCol w:w="3230"/>
      </w:tblGrid>
      <w:tr>
        <w:tc>
          <w:tcPr>
            <w:tcW w:type="dxa" w:w="1134"/>
            <w:shd w:fill="1B3A5C"/>
          </w:tcPr>
          <w:p>
            <w:pPr>
              <w:jc w:val="center"/>
            </w:pPr>
            <w:r/>
            <w:r>
              <w:rPr>
                <w:rFonts w:ascii="Times New Roman" w:hAnsi="Times New Roman"/>
                <w:b/>
                <w:color w:val="FFFFFF"/>
                <w:sz w:val="22"/>
              </w:rPr>
              <w:t>Mã WBS</w:t>
            </w:r>
          </w:p>
        </w:tc>
        <w:tc>
          <w:tcPr>
            <w:tcW w:type="dxa" w:w="6236"/>
            <w:shd w:fill="1B3A5C"/>
          </w:tcPr>
          <w:p>
            <w:pPr>
              <w:jc w:val="center"/>
            </w:pPr>
            <w:r/>
            <w:r>
              <w:rPr>
                <w:rFonts w:ascii="Times New Roman" w:hAnsi="Times New Roman"/>
                <w:b/>
                <w:color w:val="FFFFFF"/>
                <w:sz w:val="22"/>
              </w:rPr>
              <w:t>Tên công việc chi tiết</w:t>
            </w:r>
          </w:p>
        </w:tc>
        <w:tc>
          <w:tcPr>
            <w:tcW w:type="dxa" w:w="1701"/>
            <w:shd w:fill="1B3A5C"/>
          </w:tcPr>
          <w:p>
            <w:pPr>
              <w:jc w:val="center"/>
            </w:pPr>
            <w:r/>
            <w:r>
              <w:rPr>
                <w:rFonts w:ascii="Times New Roman" w:hAnsi="Times New Roman"/>
                <w:b/>
                <w:color w:val="FFFFFF"/>
                <w:sz w:val="22"/>
              </w:rPr>
              <w:t>Thời hạn</w:t>
            </w:r>
          </w:p>
        </w:tc>
      </w:tr>
      <w:tr>
        <w:tc>
          <w:tcPr>
            <w:tcW w:type="dxa" w:w="1134"/>
          </w:tcPr>
          <w:p>
            <w:r/>
            <w:r>
              <w:rPr>
                <w:rFonts w:ascii="Times New Roman" w:hAnsi="Times New Roman"/>
                <w:sz w:val="22"/>
              </w:rPr>
              <w:t>WP1</w:t>
            </w:r>
          </w:p>
        </w:tc>
        <w:tc>
          <w:tcPr>
            <w:tcW w:type="dxa" w:w="6236"/>
          </w:tcPr>
          <w:p>
            <w:r/>
            <w:r>
              <w:rPr>
                <w:rFonts w:ascii="Times New Roman" w:hAnsi="Times New Roman"/>
                <w:sz w:val="22"/>
              </w:rPr>
              <w:t>THỦ TỤC PHÁP LÝ, CƠ CHẾ TCT &amp; KIỆN TOÀN TỔ CHỨC</w:t>
            </w:r>
          </w:p>
        </w:tc>
        <w:tc>
          <w:tcPr>
            <w:tcW w:type="dxa" w:w="1701"/>
          </w:tcPr>
          <w:p>
            <w:r/>
            <w:r>
              <w:rPr>
                <w:rFonts w:ascii="Times New Roman" w:hAnsi="Times New Roman"/>
                <w:sz w:val="22"/>
              </w:rPr>
              <w:t>Tuần 1–3</w:t>
            </w:r>
          </w:p>
        </w:tc>
      </w:tr>
      <w:tr>
        <w:tc>
          <w:tcPr>
            <w:tcW w:type="dxa" w:w="1134"/>
            <w:shd w:fill="EFF6FF"/>
          </w:tcPr>
          <w:p>
            <w:r/>
            <w:r>
              <w:rPr>
                <w:rFonts w:ascii="Times New Roman" w:hAnsi="Times New Roman"/>
                <w:sz w:val="22"/>
              </w:rPr>
              <w:t>1.1</w:t>
            </w:r>
          </w:p>
        </w:tc>
        <w:tc>
          <w:tcPr>
            <w:tcW w:type="dxa" w:w="6236"/>
            <w:shd w:fill="EFF6FF"/>
          </w:tcPr>
          <w:p>
            <w:r/>
            <w:r>
              <w:rPr>
                <w:rFonts w:ascii="Times New Roman" w:hAnsi="Times New Roman"/>
                <w:sz w:val="22"/>
              </w:rPr>
              <w:t>Soạn thảo và gửi Công văn lên TCT xin chủ trương thuê NCC Data Platform</w:t>
            </w:r>
          </w:p>
        </w:tc>
        <w:tc>
          <w:tcPr>
            <w:tcW w:type="dxa" w:w="1701"/>
            <w:shd w:fill="EFF6FF"/>
          </w:tcPr>
          <w:p>
            <w:r/>
            <w:r>
              <w:rPr>
                <w:rFonts w:ascii="Times New Roman" w:hAnsi="Times New Roman"/>
                <w:sz w:val="22"/>
              </w:rPr>
              <w:t>Tuần 1–2</w:t>
            </w:r>
          </w:p>
        </w:tc>
      </w:tr>
      <w:tr>
        <w:tc>
          <w:tcPr>
            <w:tcW w:type="dxa" w:w="1134"/>
          </w:tcPr>
          <w:p>
            <w:r/>
            <w:r>
              <w:rPr>
                <w:rFonts w:ascii="Times New Roman" w:hAnsi="Times New Roman"/>
                <w:sz w:val="22"/>
              </w:rPr>
              <w:t>1.2</w:t>
            </w:r>
          </w:p>
        </w:tc>
        <w:tc>
          <w:tcPr>
            <w:tcW w:type="dxa" w:w="6236"/>
          </w:tcPr>
          <w:p>
            <w:r/>
            <w:r>
              <w:rPr>
                <w:rFonts w:ascii="Times New Roman" w:hAnsi="Times New Roman"/>
                <w:sz w:val="22"/>
              </w:rPr>
              <w:t>Ban hành Quyết định thành lập Tổ công tác Dữ liệu</w:t>
            </w:r>
          </w:p>
        </w:tc>
        <w:tc>
          <w:tcPr>
            <w:tcW w:type="dxa" w:w="1701"/>
          </w:tcPr>
          <w:p>
            <w:r/>
            <w:r>
              <w:rPr>
                <w:rFonts w:ascii="Times New Roman" w:hAnsi="Times New Roman"/>
                <w:sz w:val="22"/>
              </w:rPr>
              <w:t>Tuần 2</w:t>
            </w:r>
          </w:p>
        </w:tc>
      </w:tr>
      <w:tr>
        <w:tc>
          <w:tcPr>
            <w:tcW w:type="dxa" w:w="1134"/>
            <w:shd w:fill="EFF6FF"/>
          </w:tcPr>
          <w:p>
            <w:r/>
            <w:r>
              <w:rPr>
                <w:rFonts w:ascii="Times New Roman" w:hAnsi="Times New Roman"/>
                <w:sz w:val="22"/>
              </w:rPr>
              <w:t>1.3</w:t>
            </w:r>
          </w:p>
        </w:tc>
        <w:tc>
          <w:tcPr>
            <w:tcW w:type="dxa" w:w="6236"/>
            <w:shd w:fill="EFF6FF"/>
          </w:tcPr>
          <w:p>
            <w:r/>
            <w:r>
              <w:rPr>
                <w:rFonts w:ascii="Times New Roman" w:hAnsi="Times New Roman"/>
                <w:sz w:val="22"/>
              </w:rPr>
              <w:t>Làm việc với NCC Data Platform chốt SOW và dự toán</w:t>
            </w:r>
          </w:p>
        </w:tc>
        <w:tc>
          <w:tcPr>
            <w:tcW w:type="dxa" w:w="1701"/>
            <w:shd w:fill="EFF6FF"/>
          </w:tcPr>
          <w:p>
            <w:r/>
            <w:r>
              <w:rPr>
                <w:rFonts w:ascii="Times New Roman" w:hAnsi="Times New Roman"/>
                <w:sz w:val="22"/>
              </w:rPr>
              <w:t>Tuần 2–3</w:t>
            </w:r>
          </w:p>
        </w:tc>
      </w:tr>
      <w:tr>
        <w:tc>
          <w:tcPr>
            <w:tcW w:type="dxa" w:w="1134"/>
          </w:tcPr>
          <w:p>
            <w:r/>
            <w:r>
              <w:rPr>
                <w:rFonts w:ascii="Times New Roman" w:hAnsi="Times New Roman"/>
                <w:sz w:val="22"/>
              </w:rPr>
              <w:t>1.4</w:t>
            </w:r>
          </w:p>
        </w:tc>
        <w:tc>
          <w:tcPr>
            <w:tcW w:type="dxa" w:w="6236"/>
          </w:tcPr>
          <w:p>
            <w:r/>
            <w:r>
              <w:rPr>
                <w:rFonts w:ascii="Times New Roman" w:hAnsi="Times New Roman"/>
                <w:sz w:val="22"/>
              </w:rPr>
              <w:t>Ký kết Phụ lục hợp đồng (qua TCT) hoặc HĐ dịch vụ trực tiếp</w:t>
            </w:r>
          </w:p>
        </w:tc>
        <w:tc>
          <w:tcPr>
            <w:tcW w:type="dxa" w:w="1701"/>
          </w:tcPr>
          <w:p>
            <w:r/>
            <w:r>
              <w:rPr>
                <w:rFonts w:ascii="Times New Roman" w:hAnsi="Times New Roman"/>
                <w:sz w:val="22"/>
              </w:rPr>
              <w:t>Tuần 3</w:t>
            </w:r>
          </w:p>
        </w:tc>
      </w:tr>
      <w:tr>
        <w:tc>
          <w:tcPr>
            <w:tcW w:type="dxa" w:w="1134"/>
            <w:shd w:fill="EFF6FF"/>
          </w:tcPr>
          <w:p>
            <w:r/>
            <w:r>
              <w:rPr>
                <w:rFonts w:ascii="Times New Roman" w:hAnsi="Times New Roman"/>
                <w:sz w:val="22"/>
              </w:rPr>
              <w:t>WP2</w:t>
            </w:r>
          </w:p>
        </w:tc>
        <w:tc>
          <w:tcPr>
            <w:tcW w:type="dxa" w:w="6236"/>
            <w:shd w:fill="EFF6FF"/>
          </w:tcPr>
          <w:p>
            <w:r/>
            <w:r>
              <w:rPr>
                <w:rFonts w:ascii="Times New Roman" w:hAnsi="Times New Roman"/>
                <w:sz w:val="22"/>
              </w:rPr>
              <w:t>KHẢO SÁT KỸ THUẬT &amp; ĐÀM PHÁN VENDOR PHẦN MỀM NỘI BỘ</w:t>
            </w:r>
          </w:p>
        </w:tc>
        <w:tc>
          <w:tcPr>
            <w:tcW w:type="dxa" w:w="1701"/>
            <w:shd w:fill="EFF6FF"/>
          </w:tcPr>
          <w:p>
            <w:r/>
            <w:r>
              <w:rPr>
                <w:rFonts w:ascii="Times New Roman" w:hAnsi="Times New Roman"/>
                <w:sz w:val="22"/>
              </w:rPr>
              <w:t>Tuần 4–7</w:t>
            </w:r>
          </w:p>
        </w:tc>
      </w:tr>
      <w:tr>
        <w:tc>
          <w:tcPr>
            <w:tcW w:type="dxa" w:w="1134"/>
          </w:tcPr>
          <w:p>
            <w:r/>
            <w:r>
              <w:rPr>
                <w:rFonts w:ascii="Times New Roman" w:hAnsi="Times New Roman"/>
                <w:sz w:val="22"/>
              </w:rPr>
              <w:t>2.1</w:t>
            </w:r>
          </w:p>
        </w:tc>
        <w:tc>
          <w:tcPr>
            <w:tcW w:type="dxa" w:w="6236"/>
          </w:tcPr>
          <w:p>
            <w:r/>
            <w:r>
              <w:rPr>
                <w:rFonts w:ascii="Times New Roman" w:hAnsi="Times New Roman"/>
                <w:sz w:val="22"/>
              </w:rPr>
              <w:t>Gửi văn bản 13 Tiêu chí TCT đến FAST, MESx, VTI</w:t>
            </w:r>
          </w:p>
        </w:tc>
        <w:tc>
          <w:tcPr>
            <w:tcW w:type="dxa" w:w="1701"/>
          </w:tcPr>
          <w:p>
            <w:r/>
            <w:r>
              <w:rPr>
                <w:rFonts w:ascii="Times New Roman" w:hAnsi="Times New Roman"/>
                <w:sz w:val="22"/>
              </w:rPr>
              <w:t>Tuần 4</w:t>
            </w:r>
          </w:p>
        </w:tc>
      </w:tr>
      <w:tr>
        <w:tc>
          <w:tcPr>
            <w:tcW w:type="dxa" w:w="1134"/>
            <w:shd w:fill="EFF6FF"/>
          </w:tcPr>
          <w:p>
            <w:r/>
            <w:r>
              <w:rPr>
                <w:rFonts w:ascii="Times New Roman" w:hAnsi="Times New Roman"/>
                <w:sz w:val="22"/>
              </w:rPr>
              <w:t>2.2</w:t>
            </w:r>
          </w:p>
        </w:tc>
        <w:tc>
          <w:tcPr>
            <w:tcW w:type="dxa" w:w="6236"/>
            <w:shd w:fill="EFF6FF"/>
          </w:tcPr>
          <w:p>
            <w:r/>
            <w:r>
              <w:rPr>
                <w:rFonts w:ascii="Times New Roman" w:hAnsi="Times New Roman"/>
                <w:sz w:val="22"/>
              </w:rPr>
              <w:t>Tổ chức họp kỹ thuật 3 bên (QN – NCC DP – Vendor phần mềm)</w:t>
            </w:r>
          </w:p>
        </w:tc>
        <w:tc>
          <w:tcPr>
            <w:tcW w:type="dxa" w:w="1701"/>
            <w:shd w:fill="EFF6FF"/>
          </w:tcPr>
          <w:p>
            <w:r/>
            <w:r>
              <w:rPr>
                <w:rFonts w:ascii="Times New Roman" w:hAnsi="Times New Roman"/>
                <w:sz w:val="22"/>
              </w:rPr>
              <w:t>Tuần 4–6</w:t>
            </w:r>
          </w:p>
        </w:tc>
      </w:tr>
      <w:tr>
        <w:tc>
          <w:tcPr>
            <w:tcW w:type="dxa" w:w="1134"/>
          </w:tcPr>
          <w:p>
            <w:r/>
            <w:r>
              <w:rPr>
                <w:rFonts w:ascii="Times New Roman" w:hAnsi="Times New Roman"/>
                <w:sz w:val="22"/>
              </w:rPr>
              <w:t>2.3</w:t>
            </w:r>
          </w:p>
        </w:tc>
        <w:tc>
          <w:tcPr>
            <w:tcW w:type="dxa" w:w="6236"/>
          </w:tcPr>
          <w:p>
            <w:r/>
            <w:r>
              <w:rPr>
                <w:rFonts w:ascii="Times New Roman" w:hAnsi="Times New Roman"/>
                <w:sz w:val="22"/>
              </w:rPr>
              <w:t>Thu thập ERD và Data Dictionary của FAST, MESx, VTI</w:t>
            </w:r>
          </w:p>
        </w:tc>
        <w:tc>
          <w:tcPr>
            <w:tcW w:type="dxa" w:w="1701"/>
          </w:tcPr>
          <w:p>
            <w:r/>
            <w:r>
              <w:rPr>
                <w:rFonts w:ascii="Times New Roman" w:hAnsi="Times New Roman"/>
                <w:sz w:val="22"/>
              </w:rPr>
              <w:t>Tuần 5–6</w:t>
            </w:r>
          </w:p>
        </w:tc>
      </w:tr>
      <w:tr>
        <w:tc>
          <w:tcPr>
            <w:tcW w:type="dxa" w:w="1134"/>
            <w:shd w:fill="EFF6FF"/>
          </w:tcPr>
          <w:p>
            <w:r/>
            <w:r>
              <w:rPr>
                <w:rFonts w:ascii="Times New Roman" w:hAnsi="Times New Roman"/>
                <w:sz w:val="22"/>
              </w:rPr>
              <w:t>2.4</w:t>
            </w:r>
          </w:p>
        </w:tc>
        <w:tc>
          <w:tcPr>
            <w:tcW w:type="dxa" w:w="6236"/>
            <w:shd w:fill="EFF6FF"/>
          </w:tcPr>
          <w:p>
            <w:r/>
            <w:r>
              <w:rPr>
                <w:rFonts w:ascii="Times New Roman" w:hAnsi="Times New Roman"/>
                <w:sz w:val="22"/>
              </w:rPr>
              <w:t>IT QN cấp quyền kết nối CSDL Read-only Replica</w:t>
            </w:r>
          </w:p>
        </w:tc>
        <w:tc>
          <w:tcPr>
            <w:tcW w:type="dxa" w:w="1701"/>
            <w:shd w:fill="EFF6FF"/>
          </w:tcPr>
          <w:p>
            <w:r/>
            <w:r>
              <w:rPr>
                <w:rFonts w:ascii="Times New Roman" w:hAnsi="Times New Roman"/>
                <w:sz w:val="22"/>
              </w:rPr>
              <w:t>Tuần 6–7</w:t>
            </w:r>
          </w:p>
        </w:tc>
      </w:tr>
      <w:tr>
        <w:tc>
          <w:tcPr>
            <w:tcW w:type="dxa" w:w="1134"/>
          </w:tcPr>
          <w:p>
            <w:r/>
            <w:r>
              <w:rPr>
                <w:rFonts w:ascii="Times New Roman" w:hAnsi="Times New Roman"/>
                <w:sz w:val="22"/>
              </w:rPr>
              <w:t>WP3</w:t>
            </w:r>
          </w:p>
        </w:tc>
        <w:tc>
          <w:tcPr>
            <w:tcW w:type="dxa" w:w="6236"/>
          </w:tcPr>
          <w:p>
            <w:r/>
            <w:r>
              <w:rPr>
                <w:rFonts w:ascii="Times New Roman" w:hAnsi="Times New Roman"/>
                <w:sz w:val="22"/>
              </w:rPr>
              <w:t>THIẾT LẬP HẠ TẦNG KẾT NỐI &amp; DATA PIPELINE</w:t>
            </w:r>
          </w:p>
        </w:tc>
        <w:tc>
          <w:tcPr>
            <w:tcW w:type="dxa" w:w="1701"/>
          </w:tcPr>
          <w:p>
            <w:r/>
            <w:r>
              <w:rPr>
                <w:rFonts w:ascii="Times New Roman" w:hAnsi="Times New Roman"/>
                <w:sz w:val="22"/>
              </w:rPr>
              <w:t>Tuần 7–11</w:t>
            </w:r>
          </w:p>
        </w:tc>
      </w:tr>
      <w:tr>
        <w:tc>
          <w:tcPr>
            <w:tcW w:type="dxa" w:w="1134"/>
            <w:shd w:fill="EFF6FF"/>
          </w:tcPr>
          <w:p>
            <w:r/>
            <w:r>
              <w:rPr>
                <w:rFonts w:ascii="Times New Roman" w:hAnsi="Times New Roman"/>
                <w:sz w:val="22"/>
              </w:rPr>
              <w:t>3.1</w:t>
            </w:r>
          </w:p>
        </w:tc>
        <w:tc>
          <w:tcPr>
            <w:tcW w:type="dxa" w:w="6236"/>
            <w:shd w:fill="EFF6FF"/>
          </w:tcPr>
          <w:p>
            <w:r/>
            <w:r>
              <w:rPr>
                <w:rFonts w:ascii="Times New Roman" w:hAnsi="Times New Roman"/>
                <w:sz w:val="22"/>
              </w:rPr>
              <w:t>Cấu hình VPN / On-Premises Data Gateway → Microsoft Fabric</w:t>
            </w:r>
          </w:p>
        </w:tc>
        <w:tc>
          <w:tcPr>
            <w:tcW w:type="dxa" w:w="1701"/>
            <w:shd w:fill="EFF6FF"/>
          </w:tcPr>
          <w:p>
            <w:r/>
            <w:r>
              <w:rPr>
                <w:rFonts w:ascii="Times New Roman" w:hAnsi="Times New Roman"/>
                <w:sz w:val="22"/>
              </w:rPr>
              <w:t>Tuần 7–8</w:t>
            </w:r>
          </w:p>
        </w:tc>
      </w:tr>
      <w:tr>
        <w:tc>
          <w:tcPr>
            <w:tcW w:type="dxa" w:w="1134"/>
          </w:tcPr>
          <w:p>
            <w:r/>
            <w:r>
              <w:rPr>
                <w:rFonts w:ascii="Times New Roman" w:hAnsi="Times New Roman"/>
                <w:sz w:val="22"/>
              </w:rPr>
              <w:t>3.2</w:t>
            </w:r>
          </w:p>
        </w:tc>
        <w:tc>
          <w:tcPr>
            <w:tcW w:type="dxa" w:w="6236"/>
          </w:tcPr>
          <w:p>
            <w:r/>
            <w:r>
              <w:rPr>
                <w:rFonts w:ascii="Times New Roman" w:hAnsi="Times New Roman"/>
                <w:sz w:val="22"/>
              </w:rPr>
              <w:t>Kích hoạt CDC trên SQL Server (FAST) và PostgreSQL (MESx/VTI)</w:t>
            </w:r>
          </w:p>
        </w:tc>
        <w:tc>
          <w:tcPr>
            <w:tcW w:type="dxa" w:w="1701"/>
          </w:tcPr>
          <w:p>
            <w:r/>
            <w:r>
              <w:rPr>
                <w:rFonts w:ascii="Times New Roman" w:hAnsi="Times New Roman"/>
                <w:sz w:val="22"/>
              </w:rPr>
              <w:t>Tuần 8–10</w:t>
            </w:r>
          </w:p>
        </w:tc>
      </w:tr>
      <w:tr>
        <w:tc>
          <w:tcPr>
            <w:tcW w:type="dxa" w:w="1134"/>
            <w:shd w:fill="EFF6FF"/>
          </w:tcPr>
          <w:p>
            <w:r/>
            <w:r>
              <w:rPr>
                <w:rFonts w:ascii="Times New Roman" w:hAnsi="Times New Roman"/>
                <w:sz w:val="22"/>
              </w:rPr>
              <w:t>3.3</w:t>
            </w:r>
          </w:p>
        </w:tc>
        <w:tc>
          <w:tcPr>
            <w:tcW w:type="dxa" w:w="6236"/>
            <w:shd w:fill="EFF6FF"/>
          </w:tcPr>
          <w:p>
            <w:r/>
            <w:r>
              <w:rPr>
                <w:rFonts w:ascii="Times New Roman" w:hAnsi="Times New Roman"/>
                <w:sz w:val="22"/>
              </w:rPr>
              <w:t>Xây dựng Data Pipeline tự động hút dữ liệu vào Landing Zone L3</w:t>
            </w:r>
          </w:p>
        </w:tc>
        <w:tc>
          <w:tcPr>
            <w:tcW w:type="dxa" w:w="1701"/>
            <w:shd w:fill="EFF6FF"/>
          </w:tcPr>
          <w:p>
            <w:r/>
            <w:r>
              <w:rPr>
                <w:rFonts w:ascii="Times New Roman" w:hAnsi="Times New Roman"/>
                <w:sz w:val="22"/>
              </w:rPr>
              <w:t>Tuần 9–11</w:t>
            </w:r>
          </w:p>
        </w:tc>
      </w:tr>
      <w:tr>
        <w:tc>
          <w:tcPr>
            <w:tcW w:type="dxa" w:w="1134"/>
          </w:tcPr>
          <w:p>
            <w:r/>
            <w:r>
              <w:rPr>
                <w:rFonts w:ascii="Times New Roman" w:hAnsi="Times New Roman"/>
                <w:sz w:val="22"/>
              </w:rPr>
              <w:t>WP4</w:t>
            </w:r>
          </w:p>
        </w:tc>
        <w:tc>
          <w:tcPr>
            <w:tcW w:type="dxa" w:w="6236"/>
          </w:tcPr>
          <w:p>
            <w:r/>
            <w:r>
              <w:rPr>
                <w:rFonts w:ascii="Times New Roman" w:hAnsi="Times New Roman"/>
                <w:sz w:val="22"/>
              </w:rPr>
              <w:t>CHUẨN HÓA DỮ LIỆU &amp; MÔ HÌNH HÓA PPDM DUAL-CODE</w:t>
            </w:r>
          </w:p>
        </w:tc>
        <w:tc>
          <w:tcPr>
            <w:tcW w:type="dxa" w:w="1701"/>
          </w:tcPr>
          <w:p>
            <w:r/>
            <w:r>
              <w:rPr>
                <w:rFonts w:ascii="Times New Roman" w:hAnsi="Times New Roman"/>
                <w:sz w:val="22"/>
              </w:rPr>
              <w:t>Tuần 10–13</w:t>
            </w:r>
          </w:p>
        </w:tc>
      </w:tr>
      <w:tr>
        <w:tc>
          <w:tcPr>
            <w:tcW w:type="dxa" w:w="1134"/>
            <w:shd w:fill="EFF6FF"/>
          </w:tcPr>
          <w:p>
            <w:r/>
            <w:r>
              <w:rPr>
                <w:rFonts w:ascii="Times New Roman" w:hAnsi="Times New Roman"/>
                <w:sz w:val="22"/>
              </w:rPr>
              <w:t>4.1</w:t>
            </w:r>
          </w:p>
        </w:tc>
        <w:tc>
          <w:tcPr>
            <w:tcW w:type="dxa" w:w="6236"/>
            <w:shd w:fill="EFF6FF"/>
          </w:tcPr>
          <w:p>
            <w:r/>
            <w:r>
              <w:rPr>
                <w:rFonts w:ascii="Times New Roman" w:hAnsi="Times New Roman"/>
                <w:sz w:val="22"/>
              </w:rPr>
              <w:t>Đối soát Master Data (Mã NCC, Mã Dự án) khớp MDM của TCT</w:t>
            </w:r>
          </w:p>
        </w:tc>
        <w:tc>
          <w:tcPr>
            <w:tcW w:type="dxa" w:w="1701"/>
            <w:shd w:fill="EFF6FF"/>
          </w:tcPr>
          <w:p>
            <w:r/>
            <w:r>
              <w:rPr>
                <w:rFonts w:ascii="Times New Roman" w:hAnsi="Times New Roman"/>
                <w:sz w:val="22"/>
              </w:rPr>
              <w:t>Tuần 10–12</w:t>
            </w:r>
          </w:p>
        </w:tc>
      </w:tr>
      <w:tr>
        <w:tc>
          <w:tcPr>
            <w:tcW w:type="dxa" w:w="1134"/>
          </w:tcPr>
          <w:p>
            <w:r/>
            <w:r>
              <w:rPr>
                <w:rFonts w:ascii="Times New Roman" w:hAnsi="Times New Roman"/>
                <w:sz w:val="22"/>
              </w:rPr>
              <w:t>4.2</w:t>
            </w:r>
          </w:p>
        </w:tc>
        <w:tc>
          <w:tcPr>
            <w:tcW w:type="dxa" w:w="6236"/>
          </w:tcPr>
          <w:p>
            <w:r/>
            <w:r>
              <w:rPr>
                <w:rFonts w:ascii="Times New Roman" w:hAnsi="Times New Roman"/>
                <w:sz w:val="22"/>
              </w:rPr>
              <w:t>Ánh xạ PPDM: Xưởng (P5), Cảng (P6), Kế toán (S1), An toàn (S3)</w:t>
            </w:r>
          </w:p>
        </w:tc>
        <w:tc>
          <w:tcPr>
            <w:tcW w:type="dxa" w:w="1701"/>
          </w:tcPr>
          <w:p>
            <w:r/>
            <w:r>
              <w:rPr>
                <w:rFonts w:ascii="Times New Roman" w:hAnsi="Times New Roman"/>
                <w:sz w:val="22"/>
              </w:rPr>
              <w:t>Tuần 11–13</w:t>
            </w:r>
          </w:p>
        </w:tc>
      </w:tr>
      <w:tr>
        <w:tc>
          <w:tcPr>
            <w:tcW w:type="dxa" w:w="1134"/>
            <w:shd w:fill="EFF6FF"/>
          </w:tcPr>
          <w:p>
            <w:r/>
            <w:r>
              <w:rPr>
                <w:rFonts w:ascii="Times New Roman" w:hAnsi="Times New Roman"/>
                <w:sz w:val="22"/>
              </w:rPr>
              <w:t>4.3</w:t>
            </w:r>
          </w:p>
        </w:tc>
        <w:tc>
          <w:tcPr>
            <w:tcW w:type="dxa" w:w="6236"/>
            <w:shd w:fill="EFF6FF"/>
          </w:tcPr>
          <w:p>
            <w:r/>
            <w:r>
              <w:rPr>
                <w:rFonts w:ascii="Times New Roman" w:hAnsi="Times New Roman"/>
                <w:sz w:val="22"/>
              </w:rPr>
              <w:t>Xây dựng Silver &amp; Gold Zone (Dữ liệu sạch và tổng hợp)</w:t>
            </w:r>
          </w:p>
        </w:tc>
        <w:tc>
          <w:tcPr>
            <w:tcW w:type="dxa" w:w="1701"/>
            <w:shd w:fill="EFF6FF"/>
          </w:tcPr>
          <w:p>
            <w:r/>
            <w:r>
              <w:rPr>
                <w:rFonts w:ascii="Times New Roman" w:hAnsi="Times New Roman"/>
                <w:sz w:val="22"/>
              </w:rPr>
              <w:t>Tuần 12–13</w:t>
            </w:r>
          </w:p>
        </w:tc>
      </w:tr>
      <w:tr>
        <w:tc>
          <w:tcPr>
            <w:tcW w:type="dxa" w:w="1134"/>
          </w:tcPr>
          <w:p>
            <w:r/>
            <w:r>
              <w:rPr>
                <w:rFonts w:ascii="Times New Roman" w:hAnsi="Times New Roman"/>
                <w:sz w:val="22"/>
              </w:rPr>
              <w:t>4.4</w:t>
            </w:r>
          </w:p>
        </w:tc>
        <w:tc>
          <w:tcPr>
            <w:tcW w:type="dxa" w:w="6236"/>
          </w:tcPr>
          <w:p>
            <w:r/>
            <w:r>
              <w:rPr>
                <w:rFonts w:ascii="Times New Roman" w:hAnsi="Times New Roman"/>
                <w:sz w:val="22"/>
              </w:rPr>
              <w:t>Hoàn thành 5 nhiệm vụ TCT giao cho các Phòng ban (xem bảng riêng)</w:t>
            </w:r>
          </w:p>
        </w:tc>
        <w:tc>
          <w:tcPr>
            <w:tcW w:type="dxa" w:w="1701"/>
          </w:tcPr>
          <w:p>
            <w:r/>
            <w:r>
              <w:rPr>
                <w:rFonts w:ascii="Times New Roman" w:hAnsi="Times New Roman"/>
                <w:sz w:val="22"/>
              </w:rPr>
              <w:t>Tuần 10–13</w:t>
            </w:r>
          </w:p>
        </w:tc>
      </w:tr>
      <w:tr>
        <w:tc>
          <w:tcPr>
            <w:tcW w:type="dxa" w:w="1134"/>
            <w:shd w:fill="EFF6FF"/>
          </w:tcPr>
          <w:p>
            <w:r/>
            <w:r>
              <w:rPr>
                <w:rFonts w:ascii="Times New Roman" w:hAnsi="Times New Roman"/>
                <w:sz w:val="22"/>
              </w:rPr>
              <w:t>WP5</w:t>
            </w:r>
          </w:p>
        </w:tc>
        <w:tc>
          <w:tcPr>
            <w:tcW w:type="dxa" w:w="6236"/>
            <w:shd w:fill="EFF6FF"/>
          </w:tcPr>
          <w:p>
            <w:r/>
            <w:r>
              <w:rPr>
                <w:rFonts w:ascii="Times New Roman" w:hAnsi="Times New Roman"/>
                <w:sz w:val="22"/>
              </w:rPr>
              <w:t>XÂY DỰNG BÁO CÁO, KIỂM THỬ (UAT) &amp; BÀN GIAO</w:t>
            </w:r>
          </w:p>
        </w:tc>
        <w:tc>
          <w:tcPr>
            <w:tcW w:type="dxa" w:w="1701"/>
            <w:shd w:fill="EFF6FF"/>
          </w:tcPr>
          <w:p>
            <w:r/>
            <w:r>
              <w:rPr>
                <w:rFonts w:ascii="Times New Roman" w:hAnsi="Times New Roman"/>
                <w:sz w:val="22"/>
              </w:rPr>
              <w:t>Tuần 13–16</w:t>
            </w:r>
          </w:p>
        </w:tc>
      </w:tr>
      <w:tr>
        <w:tc>
          <w:tcPr>
            <w:tcW w:type="dxa" w:w="1134"/>
          </w:tcPr>
          <w:p>
            <w:r/>
            <w:r>
              <w:rPr>
                <w:rFonts w:ascii="Times New Roman" w:hAnsi="Times New Roman"/>
                <w:sz w:val="22"/>
              </w:rPr>
              <w:t>5.1</w:t>
            </w:r>
          </w:p>
        </w:tc>
        <w:tc>
          <w:tcPr>
            <w:tcW w:type="dxa" w:w="6236"/>
          </w:tcPr>
          <w:p>
            <w:r/>
            <w:r>
              <w:rPr>
                <w:rFonts w:ascii="Times New Roman" w:hAnsi="Times New Roman"/>
                <w:sz w:val="22"/>
              </w:rPr>
              <w:t>Thiết lập luồng đẩy báo cáo hợp nhất về Hub TCT</w:t>
            </w:r>
          </w:p>
        </w:tc>
        <w:tc>
          <w:tcPr>
            <w:tcW w:type="dxa" w:w="1701"/>
          </w:tcPr>
          <w:p>
            <w:r/>
            <w:r>
              <w:rPr>
                <w:rFonts w:ascii="Times New Roman" w:hAnsi="Times New Roman"/>
                <w:sz w:val="22"/>
              </w:rPr>
              <w:t>Tuần 13–14</w:t>
            </w:r>
          </w:p>
        </w:tc>
      </w:tr>
      <w:tr>
        <w:tc>
          <w:tcPr>
            <w:tcW w:type="dxa" w:w="1134"/>
            <w:shd w:fill="EFF6FF"/>
          </w:tcPr>
          <w:p>
            <w:r/>
            <w:r>
              <w:rPr>
                <w:rFonts w:ascii="Times New Roman" w:hAnsi="Times New Roman"/>
                <w:sz w:val="22"/>
              </w:rPr>
              <w:t>5.2</w:t>
            </w:r>
          </w:p>
        </w:tc>
        <w:tc>
          <w:tcPr>
            <w:tcW w:type="dxa" w:w="6236"/>
            <w:shd w:fill="EFF6FF"/>
          </w:tcPr>
          <w:p>
            <w:r/>
            <w:r>
              <w:rPr>
                <w:rFonts w:ascii="Times New Roman" w:hAnsi="Times New Roman"/>
                <w:sz w:val="22"/>
              </w:rPr>
              <w:t>Thiết kế 4 Dashboard cho Ban Giám đốc trên Power BI</w:t>
            </w:r>
          </w:p>
        </w:tc>
        <w:tc>
          <w:tcPr>
            <w:tcW w:type="dxa" w:w="1701"/>
            <w:shd w:fill="EFF6FF"/>
          </w:tcPr>
          <w:p>
            <w:r/>
            <w:r>
              <w:rPr>
                <w:rFonts w:ascii="Times New Roman" w:hAnsi="Times New Roman"/>
                <w:sz w:val="22"/>
              </w:rPr>
              <w:t>Tuần 13–15</w:t>
            </w:r>
          </w:p>
        </w:tc>
      </w:tr>
      <w:tr>
        <w:tc>
          <w:tcPr>
            <w:tcW w:type="dxa" w:w="1134"/>
          </w:tcPr>
          <w:p>
            <w:r/>
            <w:r>
              <w:rPr>
                <w:rFonts w:ascii="Times New Roman" w:hAnsi="Times New Roman"/>
                <w:sz w:val="22"/>
              </w:rPr>
              <w:t>5.3</w:t>
            </w:r>
          </w:p>
        </w:tc>
        <w:tc>
          <w:tcPr>
            <w:tcW w:type="dxa" w:w="6236"/>
          </w:tcPr>
          <w:p>
            <w:r/>
            <w:r>
              <w:rPr>
                <w:rFonts w:ascii="Times New Roman" w:hAnsi="Times New Roman"/>
                <w:sz w:val="22"/>
              </w:rPr>
              <w:t>Tổ chức UAT đối soát số liệu song song giữa phần mềm gốc và BI</w:t>
            </w:r>
          </w:p>
        </w:tc>
        <w:tc>
          <w:tcPr>
            <w:tcW w:type="dxa" w:w="1701"/>
          </w:tcPr>
          <w:p>
            <w:r/>
            <w:r>
              <w:rPr>
                <w:rFonts w:ascii="Times New Roman" w:hAnsi="Times New Roman"/>
                <w:sz w:val="22"/>
              </w:rPr>
              <w:t>Tuần 15–16</w:t>
            </w:r>
          </w:p>
        </w:tc>
      </w:tr>
      <w:tr>
        <w:tc>
          <w:tcPr>
            <w:tcW w:type="dxa" w:w="1134"/>
            <w:shd w:fill="EFF6FF"/>
          </w:tcPr>
          <w:p>
            <w:r/>
            <w:r>
              <w:rPr>
                <w:rFonts w:ascii="Times New Roman" w:hAnsi="Times New Roman"/>
                <w:sz w:val="22"/>
              </w:rPr>
              <w:t>5.4</w:t>
            </w:r>
          </w:p>
        </w:tc>
        <w:tc>
          <w:tcPr>
            <w:tcW w:type="dxa" w:w="6236"/>
            <w:shd w:fill="EFF6FF"/>
          </w:tcPr>
          <w:p>
            <w:r/>
            <w:r>
              <w:rPr>
                <w:rFonts w:ascii="Times New Roman" w:hAnsi="Times New Roman"/>
                <w:sz w:val="22"/>
              </w:rPr>
              <w:t>Đào tạo chuyển giao và ký Biên bản nghiệm thu</w:t>
            </w:r>
          </w:p>
        </w:tc>
        <w:tc>
          <w:tcPr>
            <w:tcW w:type="dxa" w:w="1701"/>
            <w:shd w:fill="EFF6FF"/>
          </w:tcPr>
          <w:p>
            <w:r/>
            <w:r>
              <w:rPr>
                <w:rFonts w:ascii="Times New Roman" w:hAnsi="Times New Roman"/>
                <w:sz w:val="22"/>
              </w:rPr>
              <w:t>Tuần 16</w:t>
            </w:r>
          </w:p>
        </w:tc>
      </w:tr>
    </w:tbl>
    <w:p/>
    <w:p>
      <w:pPr>
        <w:pStyle w:val="Heading2"/>
      </w:pPr>
      <w:r>
        <w:rPr>
          <w:rFonts w:ascii="Times New Roman" w:hAnsi="Times New Roman"/>
          <w:color w:val="1B3A5C"/>
        </w:rPr>
        <w:t>5 Nhiệm vụ TCT giao trực tiếp cho các Phòng ban tại Đơn vị</w:t>
      </w:r>
    </w:p>
    <w:p>
      <w:pPr>
        <w:spacing w:after="120"/>
      </w:pPr>
      <w:r>
        <w:rPr>
          <w:rFonts w:ascii="Times New Roman" w:hAnsi="Times New Roman"/>
          <w:b w:val="0"/>
          <w:i/>
          <w:sz w:val="22"/>
        </w:rPr>
        <w:t>(Tham chiếu: Slide Phiên Chiều trang 30 – Mục B "Việc cần làm ngay của các Ban và Đơn vị")</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567"/>
            <w:shd w:fill="1B3A5C"/>
          </w:tcPr>
          <w:p>
            <w:pPr>
              <w:jc w:val="center"/>
            </w:pPr>
            <w:r/>
            <w:r>
              <w:rPr>
                <w:rFonts w:ascii="Times New Roman" w:hAnsi="Times New Roman"/>
                <w:b/>
                <w:color w:val="FFFFFF"/>
                <w:sz w:val="22"/>
              </w:rPr>
              <w:t>STT</w:t>
            </w:r>
          </w:p>
        </w:tc>
        <w:tc>
          <w:tcPr>
            <w:tcW w:type="dxa" w:w="2268"/>
            <w:shd w:fill="1B3A5C"/>
          </w:tcPr>
          <w:p>
            <w:pPr>
              <w:jc w:val="center"/>
            </w:pPr>
            <w:r/>
            <w:r>
              <w:rPr>
                <w:rFonts w:ascii="Times New Roman" w:hAnsi="Times New Roman"/>
                <w:b/>
                <w:color w:val="FFFFFF"/>
                <w:sz w:val="22"/>
              </w:rPr>
              <w:t>Nhiệm vụ TCT giao</w:t>
            </w:r>
          </w:p>
        </w:tc>
        <w:tc>
          <w:tcPr>
            <w:tcW w:type="dxa" w:w="3118"/>
            <w:shd w:fill="1B3A5C"/>
          </w:tcPr>
          <w:p>
            <w:pPr>
              <w:jc w:val="center"/>
            </w:pPr>
            <w:r/>
            <w:r>
              <w:rPr>
                <w:rFonts w:ascii="Times New Roman" w:hAnsi="Times New Roman"/>
                <w:b/>
                <w:color w:val="FFFFFF"/>
                <w:sz w:val="22"/>
              </w:rPr>
              <w:t>Nội dung thực hiện tại QN</w:t>
            </w:r>
          </w:p>
        </w:tc>
        <w:tc>
          <w:tcPr>
            <w:tcW w:type="dxa" w:w="2268"/>
            <w:shd w:fill="1B3A5C"/>
          </w:tcPr>
          <w:p>
            <w:pPr>
              <w:jc w:val="center"/>
            </w:pPr>
            <w:r/>
            <w:r>
              <w:rPr>
                <w:rFonts w:ascii="Times New Roman" w:hAnsi="Times New Roman"/>
                <w:b/>
                <w:color w:val="FFFFFF"/>
                <w:sz w:val="22"/>
              </w:rPr>
              <w:t>Sản phẩm bàn giao</w:t>
            </w:r>
          </w:p>
        </w:tc>
      </w:tr>
      <w:tr>
        <w:tc>
          <w:tcPr>
            <w:tcW w:type="dxa" w:w="567"/>
          </w:tcPr>
          <w:p>
            <w:r/>
            <w:r>
              <w:rPr>
                <w:rFonts w:ascii="Times New Roman" w:hAnsi="Times New Roman"/>
                <w:sz w:val="22"/>
              </w:rPr>
              <w:t>1</w:t>
            </w:r>
          </w:p>
        </w:tc>
        <w:tc>
          <w:tcPr>
            <w:tcW w:type="dxa" w:w="2268"/>
          </w:tcPr>
          <w:p>
            <w:r/>
            <w:r>
              <w:rPr>
                <w:rFonts w:ascii="Times New Roman" w:hAnsi="Times New Roman"/>
                <w:sz w:val="22"/>
              </w:rPr>
              <w:t>Xác nhận miền dữ liệu &amp; cử nhân sự Cấp 4</w:t>
            </w:r>
          </w:p>
        </w:tc>
        <w:tc>
          <w:tcPr>
            <w:tcW w:type="dxa" w:w="3118"/>
          </w:tcPr>
          <w:p>
            <w:r/>
            <w:r>
              <w:rPr>
                <w:rFonts w:ascii="Times New Roman" w:hAnsi="Times New Roman"/>
                <w:sz w:val="22"/>
              </w:rPr>
              <w:t>Mỗi Trưởng phòng/GĐ XN xác nhận phạm vi dữ liệu mình sở hữu và chỉ định 01 Key User</w:t>
            </w:r>
          </w:p>
        </w:tc>
        <w:tc>
          <w:tcPr>
            <w:tcW w:type="dxa" w:w="2268"/>
          </w:tcPr>
          <w:p>
            <w:r/>
            <w:r>
              <w:rPr>
                <w:rFonts w:ascii="Times New Roman" w:hAnsi="Times New Roman"/>
                <w:sz w:val="22"/>
              </w:rPr>
              <w:t>Danh sách nhân sự Cấp 3 &amp; Cấp 4</w:t>
            </w:r>
          </w:p>
        </w:tc>
      </w:tr>
      <w:tr>
        <w:tc>
          <w:tcPr>
            <w:tcW w:type="dxa" w:w="567"/>
            <w:shd w:fill="EFF6FF"/>
          </w:tcPr>
          <w:p>
            <w:r/>
            <w:r>
              <w:rPr>
                <w:rFonts w:ascii="Times New Roman" w:hAnsi="Times New Roman"/>
                <w:sz w:val="22"/>
              </w:rPr>
              <w:t>2</w:t>
            </w:r>
          </w:p>
        </w:tc>
        <w:tc>
          <w:tcPr>
            <w:tcW w:type="dxa" w:w="2268"/>
            <w:shd w:fill="EFF6FF"/>
          </w:tcPr>
          <w:p>
            <w:r/>
            <w:r>
              <w:rPr>
                <w:rFonts w:ascii="Times New Roman" w:hAnsi="Times New Roman"/>
                <w:sz w:val="22"/>
              </w:rPr>
              <w:t>Rà soát, lập danh mục dữ liệu dùng chung</w:t>
            </w:r>
          </w:p>
        </w:tc>
        <w:tc>
          <w:tcPr>
            <w:tcW w:type="dxa" w:w="3118"/>
            <w:shd w:fill="EFF6FF"/>
          </w:tcPr>
          <w:p>
            <w:r/>
            <w:r>
              <w:rPr>
                <w:rFonts w:ascii="Times New Roman" w:hAnsi="Times New Roman"/>
                <w:sz w:val="22"/>
              </w:rPr>
              <w:t>Liệt kê dữ liệu đang có, chỉ rõ nằm trong phần mềm nào (FAST, MESx, VTI, Excel...)</w:t>
            </w:r>
          </w:p>
        </w:tc>
        <w:tc>
          <w:tcPr>
            <w:tcW w:type="dxa" w:w="2268"/>
            <w:shd w:fill="EFF6FF"/>
          </w:tcPr>
          <w:p>
            <w:r/>
            <w:r>
              <w:rPr>
                <w:rFonts w:ascii="Times New Roman" w:hAnsi="Times New Roman"/>
                <w:sz w:val="22"/>
              </w:rPr>
              <w:t>Bảng danh mục &amp; Hệ thống nguồn</w:t>
            </w:r>
          </w:p>
        </w:tc>
      </w:tr>
      <w:tr>
        <w:tc>
          <w:tcPr>
            <w:tcW w:type="dxa" w:w="567"/>
          </w:tcPr>
          <w:p>
            <w:r/>
            <w:r>
              <w:rPr>
                <w:rFonts w:ascii="Times New Roman" w:hAnsi="Times New Roman"/>
                <w:sz w:val="22"/>
              </w:rPr>
              <w:t>3</w:t>
            </w:r>
          </w:p>
        </w:tc>
        <w:tc>
          <w:tcPr>
            <w:tcW w:type="dxa" w:w="2268"/>
          </w:tcPr>
          <w:p>
            <w:r/>
            <w:r>
              <w:rPr>
                <w:rFonts w:ascii="Times New Roman" w:hAnsi="Times New Roman"/>
                <w:sz w:val="22"/>
              </w:rPr>
              <w:t>Nhận diện dữ liệu cốt lõi, quan trọng, cá nhân</w:t>
            </w:r>
          </w:p>
        </w:tc>
        <w:tc>
          <w:tcPr>
            <w:tcW w:type="dxa" w:w="3118"/>
          </w:tcPr>
          <w:p>
            <w:r/>
            <w:r>
              <w:rPr>
                <w:rFonts w:ascii="Times New Roman" w:hAnsi="Times New Roman"/>
                <w:sz w:val="22"/>
              </w:rPr>
              <w:t>Phân loại theo 6 chiều gắn nhãn TCT (Chia sẻ / Quan trọng / Bí mật / Cá nhân / Nguồn gốc / Vòng đời)</w:t>
            </w:r>
          </w:p>
        </w:tc>
        <w:tc>
          <w:tcPr>
            <w:tcW w:type="dxa" w:w="2268"/>
          </w:tcPr>
          <w:p>
            <w:r/>
            <w:r>
              <w:rPr>
                <w:rFonts w:ascii="Times New Roman" w:hAnsi="Times New Roman"/>
                <w:sz w:val="22"/>
              </w:rPr>
              <w:t>Bảng phân loại &amp; gắn nhãn</w:t>
            </w:r>
          </w:p>
        </w:tc>
      </w:tr>
      <w:tr>
        <w:tc>
          <w:tcPr>
            <w:tcW w:type="dxa" w:w="567"/>
            <w:shd w:fill="EFF6FF"/>
          </w:tcPr>
          <w:p>
            <w:r/>
            <w:r>
              <w:rPr>
                <w:rFonts w:ascii="Times New Roman" w:hAnsi="Times New Roman"/>
                <w:sz w:val="22"/>
              </w:rPr>
              <w:t>4</w:t>
            </w:r>
          </w:p>
        </w:tc>
        <w:tc>
          <w:tcPr>
            <w:tcW w:type="dxa" w:w="2268"/>
            <w:shd w:fill="EFF6FF"/>
          </w:tcPr>
          <w:p>
            <w:r/>
            <w:r>
              <w:rPr>
                <w:rFonts w:ascii="Times New Roman" w:hAnsi="Times New Roman"/>
                <w:sz w:val="22"/>
              </w:rPr>
              <w:t>Xác định thời hạn lưu trữ</w:t>
            </w:r>
          </w:p>
        </w:tc>
        <w:tc>
          <w:tcPr>
            <w:tcW w:type="dxa" w:w="3118"/>
            <w:shd w:fill="EFF6FF"/>
          </w:tcPr>
          <w:p>
            <w:r/>
            <w:r>
              <w:rPr>
                <w:rFonts w:ascii="Times New Roman" w:hAnsi="Times New Roman"/>
                <w:sz w:val="22"/>
              </w:rPr>
              <w:t>Quy định bao lâu phải lưu (VD: chứng từ kế toán 10 năm, dữ liệu HSE 5 năm)</w:t>
            </w:r>
          </w:p>
        </w:tc>
        <w:tc>
          <w:tcPr>
            <w:tcW w:type="dxa" w:w="2268"/>
            <w:shd w:fill="EFF6FF"/>
          </w:tcPr>
          <w:p>
            <w:r/>
            <w:r>
              <w:rPr>
                <w:rFonts w:ascii="Times New Roman" w:hAnsi="Times New Roman"/>
                <w:sz w:val="22"/>
              </w:rPr>
              <w:t>Bảng thời hạn lưu trữ theo miền</w:t>
            </w:r>
          </w:p>
        </w:tc>
      </w:tr>
      <w:tr>
        <w:tc>
          <w:tcPr>
            <w:tcW w:type="dxa" w:w="567"/>
          </w:tcPr>
          <w:p>
            <w:r/>
            <w:r>
              <w:rPr>
                <w:rFonts w:ascii="Times New Roman" w:hAnsi="Times New Roman"/>
                <w:sz w:val="22"/>
              </w:rPr>
              <w:t>5</w:t>
            </w:r>
          </w:p>
        </w:tc>
        <w:tc>
          <w:tcPr>
            <w:tcW w:type="dxa" w:w="2268"/>
          </w:tcPr>
          <w:p>
            <w:r/>
            <w:r>
              <w:rPr>
                <w:rFonts w:ascii="Times New Roman" w:hAnsi="Times New Roman"/>
                <w:sz w:val="22"/>
              </w:rPr>
              <w:t>Công bố ngưỡng chất lượng</w:t>
            </w:r>
          </w:p>
        </w:tc>
        <w:tc>
          <w:tcPr>
            <w:tcW w:type="dxa" w:w="3118"/>
          </w:tcPr>
          <w:p>
            <w:r/>
            <w:r>
              <w:rPr>
                <w:rFonts w:ascii="Times New Roman" w:hAnsi="Times New Roman"/>
                <w:sz w:val="22"/>
              </w:rPr>
              <w:t>Đặt mức lỗi chấp nhận (VD: Mã NCC FAST sai ≤ 2%, Số giờ HSE thiếu ≤ 1%)</w:t>
            </w:r>
          </w:p>
        </w:tc>
        <w:tc>
          <w:tcPr>
            <w:tcW w:type="dxa" w:w="2268"/>
          </w:tcPr>
          <w:p>
            <w:r/>
            <w:r>
              <w:rPr>
                <w:rFonts w:ascii="Times New Roman" w:hAnsi="Times New Roman"/>
                <w:sz w:val="22"/>
              </w:rPr>
              <w:t>Bảng ngưỡng chất lượng dữ liệu</w:t>
            </w:r>
          </w:p>
        </w:tc>
      </w:tr>
    </w:tbl>
    <w:p>
      <w:pPr>
        <w:pStyle w:val="Heading1"/>
      </w:pPr>
      <w:r>
        <w:rPr>
          <w:rFonts w:ascii="Times New Roman" w:hAnsi="Times New Roman"/>
          <w:color w:val="1B3A5C"/>
        </w:rPr>
        <w:t>PHẦN VI: CƠ CẤU TỔ CHỨC &amp; MA TRẬN PHÂN CÔNG TRÁCH NHIỆM</w:t>
      </w:r>
    </w:p>
    <w:p>
      <w:pPr>
        <w:pStyle w:val="Heading2"/>
      </w:pPr>
      <w:r>
        <w:rPr>
          <w:rFonts w:ascii="Times New Roman" w:hAnsi="Times New Roman"/>
          <w:color w:val="1B3A5C"/>
        </w:rPr>
        <w:t>1. Đề xuất thành lập Tổ công tác Dữ liệu</w:t>
      </w:r>
    </w:p>
    <w:p>
      <w:pPr>
        <w:pStyle w:val="ListBullet"/>
        <w:ind w:left="567"/>
      </w:pPr>
      <w:r>
        <w:rPr>
          <w:rFonts w:ascii="Times New Roman" w:hAnsi="Times New Roman"/>
          <w:b/>
          <w:sz w:val="26"/>
        </w:rPr>
        <w:t xml:space="preserve">Tổ trưởng: </w:t>
      </w:r>
      <w:r>
        <w:rPr>
          <w:rFonts w:ascii="Times New Roman" w:hAnsi="Times New Roman"/>
          <w:sz w:val="26"/>
        </w:rPr>
        <w:t>01 Đ/c Phó Giám đốc phụ trách Kỹ thuật / Chuyển đổi số.</w:t>
      </w:r>
    </w:p>
    <w:p>
      <w:pPr>
        <w:pStyle w:val="ListBullet"/>
        <w:ind w:left="567"/>
      </w:pPr>
      <w:r>
        <w:rPr>
          <w:rFonts w:ascii="Times New Roman" w:hAnsi="Times New Roman"/>
          <w:b/>
          <w:sz w:val="26"/>
        </w:rPr>
        <w:t xml:space="preserve">Tổ phó thường trực: </w:t>
      </w:r>
      <w:r>
        <w:rPr>
          <w:rFonts w:ascii="Times New Roman" w:hAnsi="Times New Roman"/>
          <w:sz w:val="26"/>
        </w:rPr>
        <w:t>Trưởng phòng CNTT.</w:t>
      </w:r>
    </w:p>
    <w:p>
      <w:pPr>
        <w:pStyle w:val="ListBullet"/>
        <w:ind w:left="567"/>
      </w:pPr>
      <w:r>
        <w:rPr>
          <w:rFonts w:ascii="Times New Roman" w:hAnsi="Times New Roman"/>
          <w:b/>
          <w:sz w:val="26"/>
        </w:rPr>
        <w:t xml:space="preserve">Thành viên (Data Owners): </w:t>
      </w:r>
      <w:r>
        <w:rPr>
          <w:rFonts w:ascii="Times New Roman" w:hAnsi="Times New Roman"/>
          <w:sz w:val="26"/>
        </w:rPr>
        <w:t>Trưởng phòng Kế toán (Chủ quản dữ liệu FAST); GĐ Xưởng Dung Quất (Chủ quản MESx); GĐ XN Cảng (Chủ quản VTI); Trưởng ban ATCL (Chủ quản HSEQ); Trưởng phòng Thương mại (Chủ quản NCC &amp; Vật tư).</w:t>
      </w:r>
    </w:p>
    <w:p>
      <w:pPr>
        <w:pStyle w:val="Heading2"/>
      </w:pPr>
      <w:r>
        <w:rPr>
          <w:rFonts w:ascii="Times New Roman" w:hAnsi="Times New Roman"/>
          <w:color w:val="1B3A5C"/>
        </w:rPr>
        <w:t>2. Ánh xạ vào Mô hình Quản trị 5 cấp của TCT</w:t>
      </w:r>
    </w:p>
    <w:p>
      <w:pPr>
        <w:spacing w:after="120"/>
      </w:pPr>
      <w:r>
        <w:rPr>
          <w:rFonts w:ascii="Times New Roman" w:hAnsi="Times New Roman"/>
          <w:b w:val="0"/>
          <w:i w:val="0"/>
          <w:sz w:val="26"/>
        </w:rPr>
        <w:t>Tổng công ty quy định mô hình quản trị dữ liệu 5 cấp (Slide Phiên Chiều trang 38, 46). Các vị trí trong Tổ công tác QN phải map chính xác:</w:t>
      </w:r>
    </w:p>
    <w:tbl>
      <w:tblPr>
        <w:tblStyle w:val="TableGrid"/>
        <w:tblW w:type="auto" w:w="0"/>
        <w:jc w:val="center"/>
        <w:tblLook w:firstColumn="1" w:firstRow="1" w:lastColumn="0" w:lastRow="0" w:noHBand="0" w:noVBand="1" w:val="04A0"/>
      </w:tblPr>
      <w:tblGrid>
        <w:gridCol w:w="3230"/>
        <w:gridCol w:w="3230"/>
        <w:gridCol w:w="3230"/>
      </w:tblGrid>
      <w:tr>
        <w:tc>
          <w:tcPr>
            <w:tcW w:type="dxa" w:w="1134"/>
            <w:shd w:fill="1B3A5C"/>
          </w:tcPr>
          <w:p>
            <w:pPr>
              <w:jc w:val="center"/>
            </w:pPr>
            <w:r/>
            <w:r>
              <w:rPr>
                <w:rFonts w:ascii="Times New Roman" w:hAnsi="Times New Roman"/>
                <w:b/>
                <w:color w:val="FFFFFF"/>
                <w:sz w:val="22"/>
              </w:rPr>
              <w:t>Cấp TCT</w:t>
            </w:r>
          </w:p>
        </w:tc>
        <w:tc>
          <w:tcPr>
            <w:tcW w:type="dxa" w:w="3118"/>
            <w:shd w:fill="1B3A5C"/>
          </w:tcPr>
          <w:p>
            <w:pPr>
              <w:jc w:val="center"/>
            </w:pPr>
            <w:r/>
            <w:r>
              <w:rPr>
                <w:rFonts w:ascii="Times New Roman" w:hAnsi="Times New Roman"/>
                <w:b/>
                <w:color w:val="FFFFFF"/>
                <w:sz w:val="22"/>
              </w:rPr>
              <w:t>Tên chuẩn TCT</w:t>
            </w:r>
          </w:p>
        </w:tc>
        <w:tc>
          <w:tcPr>
            <w:tcW w:type="dxa" w:w="3969"/>
            <w:shd w:fill="1B3A5C"/>
          </w:tcPr>
          <w:p>
            <w:pPr>
              <w:jc w:val="center"/>
            </w:pPr>
            <w:r/>
            <w:r>
              <w:rPr>
                <w:rFonts w:ascii="Times New Roman" w:hAnsi="Times New Roman"/>
                <w:b/>
                <w:color w:val="FFFFFF"/>
                <w:sz w:val="22"/>
              </w:rPr>
              <w:t>Nhân sự QN tương ứng</w:t>
            </w:r>
          </w:p>
        </w:tc>
      </w:tr>
      <w:tr>
        <w:tc>
          <w:tcPr>
            <w:tcW w:type="dxa" w:w="1134"/>
          </w:tcPr>
          <w:p>
            <w:r/>
            <w:r>
              <w:rPr>
                <w:rFonts w:ascii="Times New Roman" w:hAnsi="Times New Roman"/>
                <w:sz w:val="22"/>
              </w:rPr>
              <w:t>Cấp 1</w:t>
            </w:r>
          </w:p>
        </w:tc>
        <w:tc>
          <w:tcPr>
            <w:tcW w:type="dxa" w:w="3118"/>
          </w:tcPr>
          <w:p>
            <w:r/>
            <w:r>
              <w:rPr>
                <w:rFonts w:ascii="Times New Roman" w:hAnsi="Times New Roman"/>
                <w:sz w:val="22"/>
              </w:rPr>
              <w:t>Enterprise Data Governance</w:t>
            </w:r>
          </w:p>
        </w:tc>
        <w:tc>
          <w:tcPr>
            <w:tcW w:type="dxa" w:w="3969"/>
          </w:tcPr>
          <w:p>
            <w:r/>
            <w:r>
              <w:rPr>
                <w:rFonts w:ascii="Times New Roman" w:hAnsi="Times New Roman"/>
                <w:sz w:val="22"/>
              </w:rPr>
              <w:t>Giám đốc PTSC QN (đại diện đơn vị)</w:t>
            </w:r>
          </w:p>
        </w:tc>
      </w:tr>
      <w:tr>
        <w:tc>
          <w:tcPr>
            <w:tcW w:type="dxa" w:w="1134"/>
            <w:shd w:fill="EFF6FF"/>
          </w:tcPr>
          <w:p>
            <w:r/>
            <w:r>
              <w:rPr>
                <w:rFonts w:ascii="Times New Roman" w:hAnsi="Times New Roman"/>
                <w:sz w:val="22"/>
              </w:rPr>
              <w:t>Cấp 2</w:t>
            </w:r>
          </w:p>
        </w:tc>
        <w:tc>
          <w:tcPr>
            <w:tcW w:type="dxa" w:w="3118"/>
            <w:shd w:fill="EFF6FF"/>
          </w:tcPr>
          <w:p>
            <w:r/>
            <w:r>
              <w:rPr>
                <w:rFonts w:ascii="Times New Roman" w:hAnsi="Times New Roman"/>
                <w:sz w:val="22"/>
              </w:rPr>
              <w:t>Executive Data Coordination</w:t>
            </w:r>
          </w:p>
        </w:tc>
        <w:tc>
          <w:tcPr>
            <w:tcW w:type="dxa" w:w="3969"/>
            <w:shd w:fill="EFF6FF"/>
          </w:tcPr>
          <w:p>
            <w:r/>
            <w:r>
              <w:rPr>
                <w:rFonts w:ascii="Times New Roman" w:hAnsi="Times New Roman"/>
                <w:sz w:val="22"/>
              </w:rPr>
              <w:t>Phó GĐ phụ trách CĐS (Tổ trưởng)</w:t>
            </w:r>
          </w:p>
        </w:tc>
      </w:tr>
      <w:tr>
        <w:tc>
          <w:tcPr>
            <w:tcW w:type="dxa" w:w="1134"/>
          </w:tcPr>
          <w:p>
            <w:r/>
            <w:r>
              <w:rPr>
                <w:rFonts w:ascii="Times New Roman" w:hAnsi="Times New Roman"/>
                <w:sz w:val="22"/>
              </w:rPr>
              <w:t>Cấp 3</w:t>
            </w:r>
          </w:p>
        </w:tc>
        <w:tc>
          <w:tcPr>
            <w:tcW w:type="dxa" w:w="3118"/>
          </w:tcPr>
          <w:p>
            <w:r/>
            <w:r>
              <w:rPr>
                <w:rFonts w:ascii="Times New Roman" w:hAnsi="Times New Roman"/>
                <w:sz w:val="22"/>
              </w:rPr>
              <w:t>Data Domain Ownership (Accountability)</w:t>
            </w:r>
          </w:p>
        </w:tc>
        <w:tc>
          <w:tcPr>
            <w:tcW w:type="dxa" w:w="3969"/>
          </w:tcPr>
          <w:p>
            <w:r/>
            <w:r>
              <w:rPr>
                <w:rFonts w:ascii="Times New Roman" w:hAnsi="Times New Roman"/>
                <w:sz w:val="22"/>
              </w:rPr>
              <w:t>Trưởng phòng KT, GĐ Xưởng, GĐ XN Cảng, TB ATCL</w:t>
            </w:r>
          </w:p>
        </w:tc>
      </w:tr>
      <w:tr>
        <w:tc>
          <w:tcPr>
            <w:tcW w:type="dxa" w:w="1134"/>
            <w:shd w:fill="EFF6FF"/>
          </w:tcPr>
          <w:p>
            <w:r/>
            <w:r>
              <w:rPr>
                <w:rFonts w:ascii="Times New Roman" w:hAnsi="Times New Roman"/>
                <w:sz w:val="22"/>
              </w:rPr>
              <w:t>Cấp 4</w:t>
            </w:r>
          </w:p>
        </w:tc>
        <w:tc>
          <w:tcPr>
            <w:tcW w:type="dxa" w:w="3118"/>
            <w:shd w:fill="EFF6FF"/>
          </w:tcPr>
          <w:p>
            <w:r/>
            <w:r>
              <w:rPr>
                <w:rFonts w:ascii="Times New Roman" w:hAnsi="Times New Roman"/>
                <w:sz w:val="22"/>
              </w:rPr>
              <w:t>Data Domain Working Group</w:t>
            </w:r>
          </w:p>
        </w:tc>
        <w:tc>
          <w:tcPr>
            <w:tcW w:type="dxa" w:w="3969"/>
            <w:shd w:fill="EFF6FF"/>
          </w:tcPr>
          <w:p>
            <w:r/>
            <w:r>
              <w:rPr>
                <w:rFonts w:ascii="Times New Roman" w:hAnsi="Times New Roman"/>
                <w:sz w:val="22"/>
              </w:rPr>
              <w:t>Chuyên viên Key User tại mỗi phòng ban</w:t>
            </w:r>
          </w:p>
        </w:tc>
      </w:tr>
      <w:tr>
        <w:tc>
          <w:tcPr>
            <w:tcW w:type="dxa" w:w="1134"/>
          </w:tcPr>
          <w:p>
            <w:r/>
            <w:r>
              <w:rPr>
                <w:rFonts w:ascii="Times New Roman" w:hAnsi="Times New Roman"/>
                <w:sz w:val="22"/>
              </w:rPr>
              <w:t>Cấp 5</w:t>
            </w:r>
          </w:p>
        </w:tc>
        <w:tc>
          <w:tcPr>
            <w:tcW w:type="dxa" w:w="3118"/>
          </w:tcPr>
          <w:p>
            <w:r/>
            <w:r>
              <w:rPr>
                <w:rFonts w:ascii="Times New Roman" w:hAnsi="Times New Roman"/>
                <w:sz w:val="22"/>
              </w:rPr>
              <w:t>Technical &amp; Data Operations</w:t>
            </w:r>
          </w:p>
        </w:tc>
        <w:tc>
          <w:tcPr>
            <w:tcW w:type="dxa" w:w="3969"/>
          </w:tcPr>
          <w:p>
            <w:r/>
            <w:r>
              <w:rPr>
                <w:rFonts w:ascii="Times New Roman" w:hAnsi="Times New Roman"/>
                <w:sz w:val="22"/>
              </w:rPr>
              <w:t>Phòng CNTT + NCC Data Platform</w:t>
            </w:r>
          </w:p>
        </w:tc>
      </w:tr>
    </w:tbl>
    <w:p>
      <w:pPr>
        <w:spacing w:after="120"/>
      </w:pPr>
      <w:r>
        <w:rPr>
          <w:rFonts w:ascii="Times New Roman" w:hAnsi="Times New Roman"/>
          <w:b/>
          <w:i w:val="0"/>
          <w:sz w:val="24"/>
        </w:rPr>
        <w:t>Nguyên tắc cốt lõi: "Business sở hữu dữ liệu và chịu trách nhiệm". Phòng CNTT chỉ là đội vận hành kỹ thuật (Cấp 5), không phải chủ sở hữu dữ liệu. Trách nhiệm giải trình về chất lượng dữ liệu thuộc về Trưởng phòng/GĐ Xí nghiệp (Cấp 3).</w:t>
      </w:r>
    </w:p>
    <w:p>
      <w:pPr>
        <w:pStyle w:val="Heading1"/>
      </w:pPr>
      <w:r>
        <w:rPr>
          <w:rFonts w:ascii="Times New Roman" w:hAnsi="Times New Roman"/>
          <w:color w:val="1B3A5C"/>
        </w:rPr>
        <w:t>PHẦN VII: DỰ TOÁN NGÂN SÁCH &amp; QUẢN TRỊ RỦI RO</w:t>
      </w:r>
    </w:p>
    <w:p>
      <w:pPr>
        <w:pStyle w:val="Heading2"/>
      </w:pPr>
      <w:r>
        <w:rPr>
          <w:rFonts w:ascii="Times New Roman" w:hAnsi="Times New Roman"/>
          <w:color w:val="1B3A5C"/>
        </w:rPr>
        <w:t>1. Phân tích chi phí</w:t>
      </w:r>
    </w:p>
    <w:p>
      <w:pPr>
        <w:pStyle w:val="ListBullet"/>
        <w:ind w:left="567"/>
      </w:pPr>
      <w:r>
        <w:rPr>
          <w:rFonts w:ascii="Times New Roman" w:hAnsi="Times New Roman"/>
          <w:b/>
          <w:sz w:val="26"/>
        </w:rPr>
        <w:t xml:space="preserve">Chi phí Hạ tầng &amp; Bản quyền: </w:t>
      </w:r>
      <w:r>
        <w:rPr>
          <w:rFonts w:ascii="Times New Roman" w:hAnsi="Times New Roman"/>
          <w:sz w:val="26"/>
        </w:rPr>
        <w:t>0 VNĐ (TCT đài thọ 100% Microsoft Fabric, OneLake, Purview, Power BI Pro).</w:t>
      </w:r>
    </w:p>
    <w:p>
      <w:pPr>
        <w:pStyle w:val="ListBullet"/>
        <w:ind w:left="567"/>
      </w:pPr>
      <w:r>
        <w:rPr>
          <w:rFonts w:ascii="Times New Roman" w:hAnsi="Times New Roman"/>
          <w:b/>
          <w:sz w:val="26"/>
        </w:rPr>
        <w:t xml:space="preserve">Chi phí Phần cứng tại chỗ: </w:t>
      </w:r>
      <w:r>
        <w:rPr>
          <w:rFonts w:ascii="Times New Roman" w:hAnsi="Times New Roman"/>
          <w:sz w:val="26"/>
        </w:rPr>
        <w:t>0 VNĐ (Tận dụng máy chủ ảo hóa On-Premise hiện có).</w:t>
      </w:r>
    </w:p>
    <w:p>
      <w:pPr>
        <w:pStyle w:val="ListBullet"/>
        <w:ind w:left="567"/>
      </w:pPr>
      <w:r>
        <w:rPr>
          <w:rFonts w:ascii="Times New Roman" w:hAnsi="Times New Roman"/>
          <w:b/>
          <w:sz w:val="26"/>
        </w:rPr>
        <w:t xml:space="preserve">Chi phí Dịch vụ (Thuê NCC Data Platform): </w:t>
      </w:r>
      <w:r>
        <w:rPr>
          <w:rFonts w:ascii="Times New Roman" w:hAnsi="Times New Roman"/>
          <w:sz w:val="26"/>
        </w:rPr>
        <w:t>Cần lập dự toán kinh phí triển khai trọn gói (khoảng 14–16 man-weeks). Nguồn từ ngân sách CNTT/CĐS thường niên.</w:t>
      </w:r>
    </w:p>
    <w:p>
      <w:pPr>
        <w:pStyle w:val="ListBullet"/>
        <w:ind w:left="567"/>
      </w:pPr>
      <w:r>
        <w:rPr>
          <w:rFonts w:ascii="Times New Roman" w:hAnsi="Times New Roman"/>
          <w:b/>
          <w:sz w:val="26"/>
        </w:rPr>
        <w:t xml:space="preserve">Chi phí Vendor nguồn (FAST, MESx, VTI): </w:t>
      </w:r>
      <w:r>
        <w:rPr>
          <w:rFonts w:ascii="Times New Roman" w:hAnsi="Times New Roman"/>
          <w:sz w:val="26"/>
        </w:rPr>
        <w:t>Đàm phán tận dụng phạm vi hợp đồng bảo trì hàng năm.</w:t>
      </w:r>
    </w:p>
    <w:p>
      <w:pPr>
        <w:pStyle w:val="Heading2"/>
      </w:pPr>
      <w:r>
        <w:rPr>
          <w:rFonts w:ascii="Times New Roman" w:hAnsi="Times New Roman"/>
          <w:color w:val="1B3A5C"/>
        </w:rPr>
        <w:t>2. Quản trị rủi ro</w:t>
      </w:r>
    </w:p>
    <w:tbl>
      <w:tblPr>
        <w:tblStyle w:val="TableGrid"/>
        <w:tblW w:type="auto" w:w="0"/>
        <w:jc w:val="center"/>
        <w:tblLook w:firstColumn="1" w:firstRow="1" w:lastColumn="0" w:lastRow="0" w:noHBand="0" w:noVBand="1" w:val="04A0"/>
      </w:tblPr>
      <w:tblGrid>
        <w:gridCol w:w="3230"/>
        <w:gridCol w:w="3230"/>
        <w:gridCol w:w="3230"/>
      </w:tblGrid>
      <w:tr>
        <w:tc>
          <w:tcPr>
            <w:tcW w:type="dxa" w:w="2835"/>
            <w:shd w:fill="1B3A5C"/>
          </w:tcPr>
          <w:p>
            <w:pPr>
              <w:jc w:val="center"/>
            </w:pPr>
            <w:r/>
            <w:r>
              <w:rPr>
                <w:rFonts w:ascii="Times New Roman" w:hAnsi="Times New Roman"/>
                <w:b/>
                <w:color w:val="FFFFFF"/>
                <w:sz w:val="22"/>
              </w:rPr>
              <w:t>Rủi ro</w:t>
            </w:r>
          </w:p>
        </w:tc>
        <w:tc>
          <w:tcPr>
            <w:tcW w:type="dxa" w:w="1417"/>
            <w:shd w:fill="1B3A5C"/>
          </w:tcPr>
          <w:p>
            <w:pPr>
              <w:jc w:val="center"/>
            </w:pPr>
            <w:r/>
            <w:r>
              <w:rPr>
                <w:rFonts w:ascii="Times New Roman" w:hAnsi="Times New Roman"/>
                <w:b/>
                <w:color w:val="FFFFFF"/>
                <w:sz w:val="22"/>
              </w:rPr>
              <w:t>Mức độ</w:t>
            </w:r>
          </w:p>
        </w:tc>
        <w:tc>
          <w:tcPr>
            <w:tcW w:type="dxa" w:w="4535"/>
            <w:shd w:fill="1B3A5C"/>
          </w:tcPr>
          <w:p>
            <w:pPr>
              <w:jc w:val="center"/>
            </w:pPr>
            <w:r/>
            <w:r>
              <w:rPr>
                <w:rFonts w:ascii="Times New Roman" w:hAnsi="Times New Roman"/>
                <w:b/>
                <w:color w:val="FFFFFF"/>
                <w:sz w:val="22"/>
              </w:rPr>
              <w:t>Phương án kiểm soát</w:t>
            </w:r>
          </w:p>
        </w:tc>
      </w:tr>
      <w:tr>
        <w:tc>
          <w:tcPr>
            <w:tcW w:type="dxa" w:w="2835"/>
          </w:tcPr>
          <w:p>
            <w:r/>
            <w:r>
              <w:rPr>
                <w:rFonts w:ascii="Times New Roman" w:hAnsi="Times New Roman"/>
                <w:sz w:val="22"/>
              </w:rPr>
              <w:t>TCT chậm phê duyệt công văn</w:t>
            </w:r>
          </w:p>
        </w:tc>
        <w:tc>
          <w:tcPr>
            <w:tcW w:type="dxa" w:w="1417"/>
          </w:tcPr>
          <w:p>
            <w:r/>
            <w:r>
              <w:rPr>
                <w:rFonts w:ascii="Times New Roman" w:hAnsi="Times New Roman"/>
                <w:sz w:val="22"/>
              </w:rPr>
              <w:t>Trung bình</w:t>
            </w:r>
          </w:p>
        </w:tc>
        <w:tc>
          <w:tcPr>
            <w:tcW w:type="dxa" w:w="4535"/>
          </w:tcPr>
          <w:p>
            <w:r/>
            <w:r>
              <w:rPr>
                <w:rFonts w:ascii="Times New Roman" w:hAnsi="Times New Roman"/>
                <w:sz w:val="22"/>
              </w:rPr>
              <w:t>IT QN làm việc trước phi chính thức với Ban CNTT TCT</w:t>
            </w:r>
          </w:p>
        </w:tc>
      </w:tr>
      <w:tr>
        <w:tc>
          <w:tcPr>
            <w:tcW w:type="dxa" w:w="2835"/>
            <w:shd w:fill="EFF6FF"/>
          </w:tcPr>
          <w:p>
            <w:r/>
            <w:r>
              <w:rPr>
                <w:rFonts w:ascii="Times New Roman" w:hAnsi="Times New Roman"/>
                <w:sz w:val="22"/>
              </w:rPr>
              <w:t>Vendor phần mềm kéo dài, đòi chi phí cao mở API</w:t>
            </w:r>
          </w:p>
        </w:tc>
        <w:tc>
          <w:tcPr>
            <w:tcW w:type="dxa" w:w="1417"/>
            <w:shd w:fill="EFF6FF"/>
          </w:tcPr>
          <w:p>
            <w:r/>
            <w:r>
              <w:rPr>
                <w:rFonts w:ascii="Times New Roman" w:hAnsi="Times New Roman"/>
                <w:sz w:val="22"/>
              </w:rPr>
              <w:t>Cao</w:t>
            </w:r>
          </w:p>
        </w:tc>
        <w:tc>
          <w:tcPr>
            <w:tcW w:type="dxa" w:w="4535"/>
            <w:shd w:fill="EFF6FF"/>
          </w:tcPr>
          <w:p>
            <w:r/>
            <w:r>
              <w:rPr>
                <w:rFonts w:ascii="Times New Roman" w:hAnsi="Times New Roman"/>
                <w:sz w:val="22"/>
              </w:rPr>
              <w:t>IT QN nắm quyền SA/Admin → đọc trực tiếp DB Replica</w:t>
            </w:r>
          </w:p>
        </w:tc>
      </w:tr>
      <w:tr>
        <w:tc>
          <w:tcPr>
            <w:tcW w:type="dxa" w:w="2835"/>
          </w:tcPr>
          <w:p>
            <w:r/>
            <w:r>
              <w:rPr>
                <w:rFonts w:ascii="Times New Roman" w:hAnsi="Times New Roman"/>
                <w:sz w:val="22"/>
              </w:rPr>
              <w:t>Dữ liệu phòng ban sai lệch, thiếu mã chuẩn MDM</w:t>
            </w:r>
          </w:p>
        </w:tc>
        <w:tc>
          <w:tcPr>
            <w:tcW w:type="dxa" w:w="1417"/>
          </w:tcPr>
          <w:p>
            <w:r/>
            <w:r>
              <w:rPr>
                <w:rFonts w:ascii="Times New Roman" w:hAnsi="Times New Roman"/>
                <w:sz w:val="22"/>
              </w:rPr>
              <w:t>Cao</w:t>
            </w:r>
          </w:p>
        </w:tc>
        <w:tc>
          <w:tcPr>
            <w:tcW w:type="dxa" w:w="4535"/>
          </w:tcPr>
          <w:p>
            <w:r/>
            <w:r>
              <w:rPr>
                <w:rFonts w:ascii="Times New Roman" w:hAnsi="Times New Roman"/>
                <w:sz w:val="22"/>
              </w:rPr>
              <w:t>Data Cleansing ở Silver Zone; Quarantine bản ghi lỗi</w:t>
            </w:r>
          </w:p>
        </w:tc>
      </w:tr>
      <w:tr>
        <w:tc>
          <w:tcPr>
            <w:tcW w:type="dxa" w:w="2835"/>
            <w:shd w:fill="EFF6FF"/>
          </w:tcPr>
          <w:p>
            <w:r/>
            <w:r>
              <w:rPr>
                <w:rFonts w:ascii="Times New Roman" w:hAnsi="Times New Roman"/>
                <w:sz w:val="22"/>
              </w:rPr>
              <w:t>Tiến độ trễ do phòng ban bận sản xuất</w:t>
            </w:r>
          </w:p>
        </w:tc>
        <w:tc>
          <w:tcPr>
            <w:tcW w:type="dxa" w:w="1417"/>
            <w:shd w:fill="EFF6FF"/>
          </w:tcPr>
          <w:p>
            <w:r/>
            <w:r>
              <w:rPr>
                <w:rFonts w:ascii="Times New Roman" w:hAnsi="Times New Roman"/>
                <w:sz w:val="22"/>
              </w:rPr>
              <w:t>Trung bình</w:t>
            </w:r>
          </w:p>
        </w:tc>
        <w:tc>
          <w:tcPr>
            <w:tcW w:type="dxa" w:w="4535"/>
            <w:shd w:fill="EFF6FF"/>
          </w:tcPr>
          <w:p>
            <w:r/>
            <w:r>
              <w:rPr>
                <w:rFonts w:ascii="Times New Roman" w:hAnsi="Times New Roman"/>
                <w:sz w:val="22"/>
              </w:rPr>
              <w:t>Lãnh đạo BGĐ làm Tổ trưởng; KPI thi đua</w:t>
            </w:r>
          </w:p>
        </w:tc>
      </w:tr>
    </w:tbl>
    <w:p>
      <w:pPr>
        <w:pStyle w:val="Heading1"/>
      </w:pPr>
      <w:r>
        <w:rPr>
          <w:rFonts w:ascii="Times New Roman" w:hAnsi="Times New Roman"/>
          <w:color w:val="1B3A5C"/>
        </w:rPr>
        <w:t>PHẦN VIII: KẾ HOẠCH HÀNH ĐỘNG TRƯỚC MẮT (2 TUẦN TỚI)</w:t>
      </w:r>
    </w:p>
    <w:p>
      <w:pPr>
        <w:pStyle w:val="ListBullet"/>
        <w:ind w:left="567"/>
      </w:pPr>
      <w:r>
        <w:rPr>
          <w:rFonts w:ascii="Times New Roman" w:hAnsi="Times New Roman"/>
          <w:b/>
          <w:sz w:val="26"/>
        </w:rPr>
        <w:t xml:space="preserve">Ngày 1–5: </w:t>
      </w:r>
      <w:r>
        <w:rPr>
          <w:rFonts w:ascii="Times New Roman" w:hAnsi="Times New Roman"/>
          <w:sz w:val="26"/>
        </w:rPr>
        <w:t>Phòng CNTT hoàn thiện dự thảo Công văn gửi Tổng Giám đốc PTSC xin chủ trương (Mẫu tại Phụ lục B).</w:t>
      </w:r>
    </w:p>
    <w:p>
      <w:pPr>
        <w:pStyle w:val="ListBullet"/>
        <w:ind w:left="567"/>
      </w:pPr>
      <w:r>
        <w:rPr>
          <w:rFonts w:ascii="Times New Roman" w:hAnsi="Times New Roman"/>
          <w:b/>
          <w:sz w:val="26"/>
        </w:rPr>
        <w:t xml:space="preserve">Ngày 6–10: </w:t>
      </w:r>
      <w:r>
        <w:rPr>
          <w:rFonts w:ascii="Times New Roman" w:hAnsi="Times New Roman"/>
          <w:sz w:val="26"/>
        </w:rPr>
        <w:t>Trình Ban Giám đốc ký ban hành Quyết định thành lập Tổ công tác Dữ liệu.</w:t>
      </w:r>
    </w:p>
    <w:p>
      <w:pPr>
        <w:pStyle w:val="ListBullet"/>
        <w:ind w:left="567"/>
      </w:pPr>
      <w:r>
        <w:rPr>
          <w:rFonts w:ascii="Times New Roman" w:hAnsi="Times New Roman"/>
          <w:b/>
          <w:sz w:val="26"/>
        </w:rPr>
        <w:t xml:space="preserve">Ngày 11–14: </w:t>
      </w:r>
      <w:r>
        <w:rPr>
          <w:rFonts w:ascii="Times New Roman" w:hAnsi="Times New Roman"/>
          <w:sz w:val="26"/>
        </w:rPr>
        <w:t>Phát hành văn bản gửi FAST, MESx, VTI thông báo chủ trương tích hợp Data Platform, yêu cầu chuẩn bị nhân sự kỹ thuật và bàn giao tài liệu.</w:t>
      </w:r>
    </w:p>
    <w:p>
      <w:pPr>
        <w:pStyle w:val="Heading1"/>
      </w:pPr>
      <w:r>
        <w:rPr>
          <w:rFonts w:ascii="Times New Roman" w:hAnsi="Times New Roman"/>
          <w:color w:val="1B3A5C"/>
        </w:rPr>
        <w:t>PHẦN IX: KIẾN NGHỊ BAN GIÁM ĐỐC PHÊ DUYỆT</w:t>
      </w:r>
    </w:p>
    <w:p>
      <w:pPr>
        <w:spacing w:after="120"/>
      </w:pPr>
      <w:r>
        <w:rPr>
          <w:rFonts w:ascii="Times New Roman" w:hAnsi="Times New Roman"/>
          <w:b w:val="0"/>
          <w:i w:val="0"/>
          <w:sz w:val="26"/>
        </w:rPr>
        <w:t>Kính trình Ban Giám đốc xem xét, có ý kiến chỉ đạo và phê duyệt các nội dung sau:</w:t>
      </w:r>
    </w:p>
    <w:p>
      <w:pPr>
        <w:pStyle w:val="ListBullet"/>
        <w:ind w:left="567"/>
      </w:pPr>
      <w:r>
        <w:rPr>
          <w:rFonts w:ascii="Times New Roman" w:hAnsi="Times New Roman"/>
          <w:b/>
          <w:sz w:val="26"/>
        </w:rPr>
        <w:t xml:space="preserve">1. </w:t>
      </w:r>
      <w:r>
        <w:rPr>
          <w:rFonts w:ascii="Times New Roman" w:hAnsi="Times New Roman"/>
          <w:sz w:val="26"/>
        </w:rPr>
        <w:t>Phê duyệt Báo cáo Kế hoạch hành động triển khai Nền tảng Dữ liệu tại PTSC Quảng Ngãi theo mô hình Level 3.</w:t>
      </w:r>
    </w:p>
    <w:p>
      <w:pPr>
        <w:pStyle w:val="ListBullet"/>
        <w:ind w:left="567"/>
      </w:pPr>
      <w:r>
        <w:rPr>
          <w:rFonts w:ascii="Times New Roman" w:hAnsi="Times New Roman"/>
          <w:b/>
          <w:sz w:val="26"/>
        </w:rPr>
        <w:t xml:space="preserve">2. </w:t>
      </w:r>
      <w:r>
        <w:rPr>
          <w:rFonts w:ascii="Times New Roman" w:hAnsi="Times New Roman"/>
          <w:sz w:val="26"/>
        </w:rPr>
        <w:t>Ký ban hành Công văn gửi Tổng công ty PTSC xin chủ trương thuê Nhà cung cấp Data Platform của TCT.</w:t>
      </w:r>
    </w:p>
    <w:p>
      <w:pPr>
        <w:pStyle w:val="ListBullet"/>
        <w:ind w:left="567"/>
      </w:pPr>
      <w:r>
        <w:rPr>
          <w:rFonts w:ascii="Times New Roman" w:hAnsi="Times New Roman"/>
          <w:b/>
          <w:sz w:val="26"/>
        </w:rPr>
        <w:t xml:space="preserve">3. </w:t>
      </w:r>
      <w:r>
        <w:rPr>
          <w:rFonts w:ascii="Times New Roman" w:hAnsi="Times New Roman"/>
          <w:sz w:val="26"/>
        </w:rPr>
        <w:t>Ký ban hành Quyết định thành lập Tổ công tác Dữ liệu để giao trách nhiệm rõ ràng cho các Phòng ban, Xí nghiệp Cảng và Xưởng Dung Quất.</w:t>
      </w:r>
    </w:p>
    <w:p>
      <w:r>
        <w:br w:type="page"/>
      </w:r>
    </w:p>
    <w:p>
      <w:pPr>
        <w:pStyle w:val="Heading1"/>
      </w:pPr>
      <w:r>
        <w:rPr>
          <w:rFonts w:ascii="Times New Roman" w:hAnsi="Times New Roman"/>
          <w:color w:val="1B3A5C"/>
        </w:rPr>
        <w:t>PHỤ LỤC A: 13 TIÊU CHÍ KỸ THUẬT TÍCH HỢP BẮT BUỘC (TCT PTSC)</w:t>
      </w:r>
    </w:p>
    <w:p>
      <w:pPr>
        <w:spacing w:after="120"/>
      </w:pPr>
      <w:r>
        <w:rPr>
          <w:rFonts w:ascii="Times New Roman" w:hAnsi="Times New Roman"/>
          <w:b w:val="0"/>
          <w:i/>
          <w:sz w:val="22"/>
        </w:rPr>
        <w:t>(Trích xuất từ Biểu mẫu PTSC-ADM-RG08-FM10 – 5 trang – Kẹp gửi kèm văn bản làm việc với các NCC phần mềm)</w:t>
      </w:r>
    </w:p>
    <w:p>
      <w:pPr>
        <w:pStyle w:val="ListBullet"/>
        <w:ind w:left="567"/>
      </w:pPr>
      <w:r>
        <w:rPr>
          <w:rFonts w:ascii="Times New Roman" w:hAnsi="Times New Roman"/>
          <w:b/>
          <w:sz w:val="26"/>
        </w:rPr>
        <w:t xml:space="preserve">1. Chuẩn giao tiếp: </w:t>
      </w:r>
      <w:r>
        <w:rPr>
          <w:rFonts w:ascii="Times New Roman" w:hAnsi="Times New Roman"/>
          <w:sz w:val="26"/>
        </w:rPr>
        <w:t>RESTful API (OpenAPI/Swagger), kết nối JDBC/ODBC/View/Replica; JSON/CSV/Parquet; timezone chuẩn.</w:t>
      </w:r>
    </w:p>
    <w:p>
      <w:pPr>
        <w:pStyle w:val="ListBullet"/>
        <w:ind w:left="567"/>
      </w:pPr>
      <w:r>
        <w:rPr>
          <w:rFonts w:ascii="Times New Roman" w:hAnsi="Times New Roman"/>
          <w:b/>
          <w:sz w:val="26"/>
        </w:rPr>
        <w:t xml:space="preserve">2. Luồng dữ liệu 2 chiều: </w:t>
      </w:r>
      <w:r>
        <w:rPr>
          <w:rFonts w:ascii="Times New Roman" w:hAnsi="Times New Roman"/>
          <w:sz w:val="26"/>
        </w:rPr>
        <w:t>Đẩy dữ liệu giao dịch ra Data Platform và tiếp nhận Master Data ngược lại từ Hub TCT.</w:t>
      </w:r>
    </w:p>
    <w:p>
      <w:pPr>
        <w:pStyle w:val="ListBullet"/>
        <w:ind w:left="567"/>
      </w:pPr>
      <w:r>
        <w:rPr>
          <w:rFonts w:ascii="Times New Roman" w:hAnsi="Times New Roman"/>
          <w:b/>
          <w:sz w:val="26"/>
        </w:rPr>
        <w:t xml:space="preserve">3. Truy xuất dữ liệu gia tăng (CDC): </w:t>
      </w:r>
      <w:r>
        <w:rPr>
          <w:rFonts w:ascii="Times New Roman" w:hAnsi="Times New Roman"/>
          <w:sz w:val="26"/>
        </w:rPr>
        <w:t>Bắt buộc CDC / Transaction Log / Last Updated Date; hỗ trợ Replay/Backfill khi sự cố.</w:t>
      </w:r>
    </w:p>
    <w:p>
      <w:pPr>
        <w:pStyle w:val="ListBullet"/>
        <w:ind w:left="567"/>
      </w:pPr>
      <w:r>
        <w:rPr>
          <w:rFonts w:ascii="Times New Roman" w:hAnsi="Times New Roman"/>
          <w:b/>
          <w:sz w:val="26"/>
        </w:rPr>
        <w:t xml:space="preserve">4. Ổn định khóa chính: </w:t>
      </w:r>
      <w:r>
        <w:rPr>
          <w:rFonts w:ascii="Times New Roman" w:hAnsi="Times New Roman"/>
          <w:sz w:val="26"/>
        </w:rPr>
        <w:t>Primary Key các thực thể lõi không được thay đổi; cam kết đồng bộ ID với MDM của TCT.</w:t>
      </w:r>
    </w:p>
    <w:p>
      <w:pPr>
        <w:pStyle w:val="ListBullet"/>
        <w:ind w:left="567"/>
      </w:pPr>
      <w:r>
        <w:rPr>
          <w:rFonts w:ascii="Times New Roman" w:hAnsi="Times New Roman"/>
          <w:b/>
          <w:sz w:val="26"/>
        </w:rPr>
        <w:t xml:space="preserve">5. Bảo mật &amp; IAM: </w:t>
      </w:r>
      <w:r>
        <w:rPr>
          <w:rFonts w:ascii="Times New Roman" w:hAnsi="Times New Roman"/>
          <w:sz w:val="26"/>
        </w:rPr>
        <w:t>OAuth 2.0 / OpenID Connect / mTLS; tích hợp SSO (Keycloak, LDAP).</w:t>
      </w:r>
    </w:p>
    <w:p>
      <w:pPr>
        <w:pStyle w:val="ListBullet"/>
        <w:ind w:left="567"/>
      </w:pPr>
      <w:r>
        <w:rPr>
          <w:rFonts w:ascii="Times New Roman" w:hAnsi="Times New Roman"/>
          <w:b/>
          <w:sz w:val="26"/>
        </w:rPr>
        <w:t xml:space="preserve">6. Metadata &amp; Sơ đồ CSDL: </w:t>
      </w:r>
      <w:r>
        <w:rPr>
          <w:rFonts w:ascii="Times New Roman" w:hAnsi="Times New Roman"/>
          <w:sz w:val="26"/>
        </w:rPr>
        <w:t>Bắt buộc cung cấp ERD và Data Dictionary mô tả bảng, cột, kiểu dữ liệu, ràng buộc.</w:t>
      </w:r>
    </w:p>
    <w:p>
      <w:pPr>
        <w:pStyle w:val="ListBullet"/>
        <w:ind w:left="567"/>
      </w:pPr>
      <w:r>
        <w:rPr>
          <w:rFonts w:ascii="Times New Roman" w:hAnsi="Times New Roman"/>
          <w:b/>
          <w:sz w:val="26"/>
        </w:rPr>
        <w:t xml:space="preserve">7. Hiệu năng (Scalability): </w:t>
      </w:r>
      <w:r>
        <w:rPr>
          <w:rFonts w:ascii="Times New Roman" w:hAnsi="Times New Roman"/>
          <w:sz w:val="26"/>
        </w:rPr>
        <w:t>Không giới hạn kênh tích hợp bởi license; job trích xuất không ảnh hưởng tốc độ giao dịch.</w:t>
      </w:r>
    </w:p>
    <w:p>
      <w:pPr>
        <w:pStyle w:val="ListBullet"/>
        <w:ind w:left="567"/>
      </w:pPr>
      <w:r>
        <w:rPr>
          <w:rFonts w:ascii="Times New Roman" w:hAnsi="Times New Roman"/>
          <w:b/>
          <w:sz w:val="26"/>
        </w:rPr>
        <w:t xml:space="preserve">8. Idempotent &amp; Truy vết: </w:t>
      </w:r>
      <w:r>
        <w:rPr>
          <w:rFonts w:ascii="Times New Roman" w:hAnsi="Times New Roman"/>
          <w:sz w:val="26"/>
        </w:rPr>
        <w:t>Gửi lặp request không trùng dữ liệu; correlationId / traceId xuyên suốt toàn hệ thống.</w:t>
      </w:r>
    </w:p>
    <w:p>
      <w:pPr>
        <w:pStyle w:val="ListBullet"/>
        <w:ind w:left="567"/>
      </w:pPr>
      <w:r>
        <w:rPr>
          <w:rFonts w:ascii="Times New Roman" w:hAnsi="Times New Roman"/>
          <w:b/>
          <w:sz w:val="26"/>
        </w:rPr>
        <w:t xml:space="preserve">9. Môi trường thử nghiệm: </w:t>
      </w:r>
      <w:r>
        <w:rPr>
          <w:rFonts w:ascii="Times New Roman" w:hAnsi="Times New Roman"/>
          <w:sz w:val="26"/>
        </w:rPr>
        <w:t>Vendor phải cấp DEV/UAT tương đương production; bộ dữ liệu mẫu test 2 chiều.</w:t>
      </w:r>
    </w:p>
    <w:p>
      <w:pPr>
        <w:pStyle w:val="ListBullet"/>
        <w:ind w:left="567"/>
      </w:pPr>
      <w:r>
        <w:rPr>
          <w:rFonts w:ascii="Times New Roman" w:hAnsi="Times New Roman"/>
          <w:b/>
          <w:sz w:val="26"/>
        </w:rPr>
        <w:t xml:space="preserve">10. Cam kết mở / Chống Vendor-lockin: </w:t>
      </w:r>
      <w:r>
        <w:rPr>
          <w:rFonts w:ascii="Times New Roman" w:hAnsi="Times New Roman"/>
          <w:sz w:val="26"/>
        </w:rPr>
        <w:t>Đội kỹ thuật QN và Data Platform toàn quyền truy cập cấu hình và vận hành.</w:t>
      </w:r>
    </w:p>
    <w:p>
      <w:pPr>
        <w:pStyle w:val="ListBullet"/>
        <w:ind w:left="567"/>
      </w:pPr>
      <w:r>
        <w:rPr>
          <w:rFonts w:ascii="Times New Roman" w:hAnsi="Times New Roman"/>
          <w:b/>
          <w:sz w:val="26"/>
        </w:rPr>
        <w:t xml:space="preserve">11. Chất lượng dữ liệu: </w:t>
      </w:r>
      <w:r>
        <w:rPr>
          <w:rFonts w:ascii="Times New Roman" w:hAnsi="Times New Roman"/>
          <w:sz w:val="26"/>
        </w:rPr>
        <w:t>Bộ quy tắc kiểm tra lỗi (null/format/duplicate); cơ chế quarantine bản ghi lỗi.</w:t>
      </w:r>
    </w:p>
    <w:p>
      <w:pPr>
        <w:pStyle w:val="ListBullet"/>
        <w:ind w:left="567"/>
      </w:pPr>
      <w:r>
        <w:rPr>
          <w:rFonts w:ascii="Times New Roman" w:hAnsi="Times New Roman"/>
          <w:b/>
          <w:sz w:val="26"/>
        </w:rPr>
        <w:t xml:space="preserve">12. Vận hành &amp; Giám sát: </w:t>
      </w:r>
      <w:r>
        <w:rPr>
          <w:rFonts w:ascii="Times New Roman" w:hAnsi="Times New Roman"/>
          <w:sz w:val="26"/>
        </w:rPr>
        <w:t>Runbook xử lý sự cố; giám sát giao dịch, tỷ lệ lỗi, độ trễ đồng bộ.</w:t>
      </w:r>
    </w:p>
    <w:p>
      <w:pPr>
        <w:pStyle w:val="ListBullet"/>
        <w:ind w:left="567"/>
      </w:pPr>
      <w:r>
        <w:rPr>
          <w:rFonts w:ascii="Times New Roman" w:hAnsi="Times New Roman"/>
          <w:b/>
          <w:sz w:val="26"/>
        </w:rPr>
        <w:t xml:space="preserve">13. Quản lý thay đổi Schema: </w:t>
      </w:r>
      <w:r>
        <w:rPr>
          <w:rFonts w:ascii="Times New Roman" w:hAnsi="Times New Roman"/>
          <w:sz w:val="26"/>
        </w:rPr>
        <w:t>Backward Compatible khi nâng cấp; deprecation policy thông báo trước.</w:t>
      </w:r>
    </w:p>
    <w:p>
      <w:r>
        <w:br w:type="page"/>
      </w:r>
    </w:p>
    <w:p>
      <w:pPr>
        <w:pStyle w:val="Heading1"/>
      </w:pPr>
      <w:r>
        <w:rPr>
          <w:rFonts w:ascii="Times New Roman" w:hAnsi="Times New Roman"/>
          <w:color w:val="1B3A5C"/>
        </w:rPr>
        <w:t>PHỤ LỤC B: DỰ THẢO CÔNG VĂN GỬI TỔNG CÔNG TY PTSC</w:t>
      </w:r>
    </w:p>
    <w:p>
      <w:pPr>
        <w:spacing w:after="120"/>
        <w:jc w:val="center"/>
      </w:pPr>
      <w:r>
        <w:rPr>
          <w:rFonts w:ascii="Times New Roman" w:hAnsi="Times New Roman"/>
          <w:b/>
          <w:i w:val="0"/>
          <w:sz w:val="24"/>
        </w:rPr>
        <w:t>TỔNG CÔNG TY CỔ PHẦN DỊCH VỤ KỸ THUẬT DẦU KHÍ VIỆT NAM</w:t>
      </w:r>
    </w:p>
    <w:p>
      <w:pPr>
        <w:spacing w:after="120"/>
        <w:jc w:val="center"/>
      </w:pPr>
      <w:r>
        <w:rPr>
          <w:rFonts w:ascii="Times New Roman" w:hAnsi="Times New Roman"/>
          <w:b/>
          <w:i w:val="0"/>
          <w:sz w:val="24"/>
        </w:rPr>
        <w:t>CÔNG TY CỔ PHẦN DỊCH VỤ DẦU KHÍ QUẢNG NGÃI</w:t>
      </w:r>
    </w:p>
    <w:p>
      <w:pPr>
        <w:spacing w:after="120"/>
      </w:pPr>
      <w:r>
        <w:rPr>
          <w:rFonts w:ascii="Times New Roman" w:hAnsi="Times New Roman"/>
          <w:b w:val="0"/>
          <w:i w:val="0"/>
          <w:sz w:val="24"/>
        </w:rPr>
        <w:t>Số:      /PTSC-QN-CNTT</w:t>
      </w:r>
    </w:p>
    <w:p/>
    <w:p>
      <w:pPr>
        <w:spacing w:after="120"/>
        <w:jc w:val="center"/>
      </w:pPr>
      <w:r>
        <w:rPr>
          <w:rFonts w:ascii="Times New Roman" w:hAnsi="Times New Roman"/>
          <w:b/>
          <w:i w:val="0"/>
          <w:sz w:val="24"/>
        </w:rPr>
        <w:t>CỘNG HÒA XÃ HỘI CHỦ NGHĨA VIỆT NAM</w:t>
      </w:r>
    </w:p>
    <w:p>
      <w:pPr>
        <w:spacing w:after="120"/>
        <w:jc w:val="center"/>
      </w:pPr>
      <w:r>
        <w:rPr>
          <w:rFonts w:ascii="Times New Roman" w:hAnsi="Times New Roman"/>
          <w:b/>
          <w:i w:val="0"/>
          <w:sz w:val="24"/>
        </w:rPr>
        <w:t>Độc lập - Tự do - Hạnh phúc</w:t>
      </w:r>
    </w:p>
    <w:p>
      <w:pPr>
        <w:spacing w:after="120"/>
        <w:jc w:val="center"/>
      </w:pPr>
      <w:r>
        <w:rPr>
          <w:rFonts w:ascii="Times New Roman" w:hAnsi="Times New Roman"/>
          <w:b w:val="0"/>
          <w:i/>
          <w:sz w:val="24"/>
        </w:rPr>
        <w:t>Quảng Ngãi, ngày    tháng 09 năm 2026</w:t>
      </w:r>
    </w:p>
    <w:p/>
    <w:p>
      <w:pPr>
        <w:spacing w:after="120"/>
        <w:jc w:val="center"/>
      </w:pPr>
      <w:r>
        <w:rPr>
          <w:rFonts w:ascii="Times New Roman" w:hAnsi="Times New Roman"/>
          <w:b/>
          <w:i w:val="0"/>
          <w:sz w:val="26"/>
        </w:rPr>
        <w:t>V/v: Đề xuất phương án phối hợp triển khai Nền tảng Dữ liệu (Data Platform) tại PTSC Quảng Ngãi</w:t>
      </w:r>
    </w:p>
    <w:p/>
    <w:p>
      <w:pPr>
        <w:spacing w:after="120"/>
      </w:pPr>
      <w:r>
        <w:rPr>
          <w:rFonts w:ascii="Times New Roman" w:hAnsi="Times New Roman"/>
          <w:b/>
          <w:i w:val="0"/>
          <w:sz w:val="26"/>
        </w:rPr>
        <w:t>Kính gửi: TỔNG GIÁM ĐỐC TỔNG CÔNG TY CỔ PHẦN DỊCH VỤ KỸ THUẬT DẦU KHÍ VIỆT NAM</w:t>
      </w:r>
    </w:p>
    <w:p>
      <w:pPr>
        <w:spacing w:after="120"/>
      </w:pPr>
      <w:r>
        <w:rPr>
          <w:rFonts w:ascii="Times New Roman" w:hAnsi="Times New Roman"/>
          <w:b w:val="0"/>
          <w:i/>
          <w:sz w:val="24"/>
        </w:rPr>
        <w:t>(Đồng kính gửi: Ban Công nghệ Thông tin Tổng công ty)</w:t>
      </w:r>
    </w:p>
    <w:p/>
    <w:p>
      <w:pPr>
        <w:spacing w:after="160"/>
        <w:ind w:firstLine="720"/>
      </w:pPr>
      <w:r>
        <w:rPr>
          <w:rFonts w:ascii="Times New Roman" w:hAnsi="Times New Roman"/>
          <w:b w:val="0"/>
          <w:i w:val="0"/>
          <w:sz w:val="26"/>
        </w:rPr>
        <w:t>Thực hiện Nghị quyết số 10/NQ-HĐQT-PTSC về Chiến lược Chuyển đổi số của Tổng công ty PTSC và hướng dẫn của Ban CNTT Tổng công ty tại Hội thảo Data Platform, Công ty Cổ phần Dịch vụ Dầu khí Quảng Ngãi (PTSC Quảng Ngãi) đã chủ động rà soát hiện trạng hệ thống phần mềm, cơ sở dữ liệu nội bộ và xây dựng Kế hoạch triển khai Nền tảng Dữ liệu theo mô hình Level 3 (Tenant độc lập trên nền tảng Microsoft Fabric của Tổng công ty).</w:t>
      </w:r>
    </w:p>
    <w:p>
      <w:pPr>
        <w:spacing w:after="160"/>
        <w:ind w:firstLine="720"/>
      </w:pPr>
      <w:r>
        <w:rPr>
          <w:rFonts w:ascii="Times New Roman" w:hAnsi="Times New Roman"/>
          <w:b w:val="0"/>
          <w:i w:val="0"/>
          <w:sz w:val="26"/>
        </w:rPr>
        <w:t>Hiện nay, PTSC Quảng Ngãi đang vận hành các hệ thống nghiệp vụ cốt lõi đặt tại máy chủ nội bộ (On-Premise) gồm: Phần mềm kế toán FAST, Phần mềm quản lý sản xuất cơ khí Dung Quất (MESx/PMSx), Phần mềm khai thác Cảng và đội tàu (VTI/IRTECH) và Hệ thống an toàn HSEQ.</w:t>
      </w:r>
    </w:p>
    <w:p>
      <w:pPr>
        <w:spacing w:after="160"/>
        <w:ind w:firstLine="720"/>
      </w:pPr>
      <w:r>
        <w:rPr>
          <w:rFonts w:ascii="Times New Roman" w:hAnsi="Times New Roman"/>
          <w:b w:val="0"/>
          <w:i w:val="0"/>
          <w:sz w:val="26"/>
        </w:rPr>
        <w:t>Để đảm bảo tiến độ đồng bộ dữ liệu với Tổng công ty, đồng thời đảm bảo tính tương thích 100% về mặt kiến trúc kỹ thuật, mô hình phân loại PPDM Dual-Code và các tiêu chuẩn bảo mật của Tổng công ty, PTSC Quảng Ngãi kính đề xuất Tổng Giám đốc Tổng công ty xem xét, chấp thuận chủ trương:</w:t>
      </w:r>
    </w:p>
    <w:p>
      <w:pPr>
        <w:pStyle w:val="ListBullet"/>
        <w:ind w:left="567"/>
      </w:pPr>
      <w:r>
        <w:rPr>
          <w:rFonts w:ascii="Times New Roman" w:hAnsi="Times New Roman"/>
          <w:b/>
          <w:sz w:val="26"/>
        </w:rPr>
        <w:t xml:space="preserve">1. </w:t>
      </w:r>
      <w:r>
        <w:rPr>
          <w:rFonts w:ascii="Times New Roman" w:hAnsi="Times New Roman"/>
          <w:sz w:val="26"/>
        </w:rPr>
        <w:t>Chấp thuận cho phép PTSC Quảng Ngãi được sử dụng dịch vụ kỹ thuật của [Tên Nhà cung cấp Data Platform của TCT] – Đơn vị hiện đang trực tiếp triển khai Nền tảng Data Platform cho Tổng công ty – để triển khai trọn gói phân vùng Spoke Level 3 cho PTSC Quảng Ngãi.</w:t>
      </w:r>
    </w:p>
    <w:p>
      <w:pPr>
        <w:pStyle w:val="ListBullet"/>
        <w:ind w:left="567"/>
      </w:pPr>
      <w:r>
        <w:rPr>
          <w:rFonts w:ascii="Times New Roman" w:hAnsi="Times New Roman"/>
          <w:b/>
          <w:sz w:val="26"/>
        </w:rPr>
        <w:t xml:space="preserve">2. </w:t>
      </w:r>
      <w:r>
        <w:rPr>
          <w:rFonts w:ascii="Times New Roman" w:hAnsi="Times New Roman"/>
          <w:sz w:val="26"/>
        </w:rPr>
        <w:t>Giao Ban CNTT Tổng công ty chủ trì, phối hợp cùng PTSC Quảng Ngãi thực hiện thủ tục bổ sung Phụ lục hợp đồng mở rộng phạm vi công việc từ Hợp đồng Data Platform hiện hữu của Tổng công ty (hoặc hướng dẫn cơ chế để PTSC Quảng Ngãi ký hợp đồng dịch vụ kỹ thuật trực tiếp với Nhà cung cấp theo quy định). Toàn bộ kinh phí phát sinh liên quan đến phạm vi triển khai tại đơn vị sẽ do PTSC Quảng Ngãi tự cân đối và chi trả.</w:t>
      </w:r>
    </w:p>
    <w:p>
      <w:pPr>
        <w:pStyle w:val="ListBullet"/>
        <w:ind w:left="567"/>
      </w:pPr>
      <w:r>
        <w:rPr>
          <w:rFonts w:ascii="Times New Roman" w:hAnsi="Times New Roman"/>
          <w:b/>
          <w:sz w:val="26"/>
        </w:rPr>
        <w:t xml:space="preserve">3. </w:t>
      </w:r>
      <w:r>
        <w:rPr>
          <w:rFonts w:ascii="Times New Roman" w:hAnsi="Times New Roman"/>
          <w:sz w:val="26"/>
        </w:rPr>
        <w:t>Cấp phát tài nguyên phân vùng Tenant/Workspace Level 3 và tài khoản kết nối kỹ thuật trên hệ thống Microsoft Fabric của Tổng công ty để đội ngũ kỹ thuật tiến hành kết nối thử nghiệm.</w:t>
      </w:r>
    </w:p>
    <w:p/>
    <w:p>
      <w:pPr>
        <w:spacing w:after="160"/>
        <w:ind w:firstLine="720"/>
      </w:pPr>
      <w:r>
        <w:rPr>
          <w:rFonts w:ascii="Times New Roman" w:hAnsi="Times New Roman"/>
          <w:b w:val="0"/>
          <w:i w:val="0"/>
          <w:sz w:val="26"/>
        </w:rPr>
        <w:t>PTSC Quảng Ngãi cam kết phối hợp chặt chẽ với Ban CNTT Tổng công ty, tuân thủ nghiêm ngặt Quy chế Quản trị Dữ liệu số 889/QC-PTSC và 13 Tiêu chí Kỹ thuật Tích hợp để hoàn thành dự án đúng tiến độ được giao.</w:t>
      </w:r>
    </w:p>
    <w:p>
      <w:pPr>
        <w:spacing w:after="160"/>
      </w:pPr>
      <w:r>
        <w:rPr>
          <w:rFonts w:ascii="Times New Roman" w:hAnsi="Times New Roman"/>
          <w:b w:val="0"/>
          <w:i w:val="0"/>
          <w:sz w:val="26"/>
        </w:rPr>
        <w:t>Kính trình Tổng Giám đốc Tổng công ty xem xét, chỉ đạo./.</w:t>
      </w:r>
    </w:p>
    <w:p/>
    <w:p>
      <w:pPr>
        <w:jc w:val="right"/>
      </w:pPr>
      <w:r>
        <w:rPr>
          <w:rFonts w:ascii="Times New Roman" w:hAnsi="Times New Roman"/>
          <w:b/>
          <w:sz w:val="26"/>
        </w:rPr>
        <w:t>GIÁM ĐỐC</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