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b/>
          <w:i w:val="0"/>
          <w:color w:val="1B3A5C"/>
          <w:sz w:val="28"/>
        </w:rPr>
        <w:t>CÔNG TY CỔ PHẦN DỊCH VỤ DẦU KHÍ QUẢNG NGÃI</w:t>
      </w:r>
    </w:p>
    <w:p>
      <w:pPr>
        <w:spacing w:after="120"/>
        <w:jc w:val="center"/>
      </w:pPr>
      <w:r>
        <w:rPr>
          <w:rFonts w:ascii="Times New Roman" w:hAnsi="Times New Roman"/>
          <w:b/>
          <w:i w:val="0"/>
          <w:color w:val="1B3A5C"/>
          <w:sz w:val="26"/>
        </w:rPr>
        <w:t>(PTSC QUẢNG NGÃI)</w:t>
      </w:r>
    </w:p>
    <w:p>
      <w:pPr>
        <w:spacing w:after="120"/>
        <w:jc w:val="center"/>
      </w:pPr>
      <w:r>
        <w:rPr>
          <w:rFonts w:ascii="Times New Roman" w:hAnsi="Times New Roman"/>
          <w:b w:val="0"/>
          <w:i w:val="0"/>
          <w:color w:val="999999"/>
          <w:sz w:val="20"/>
        </w:rPr>
        <w:t>──────────────────────────────</w:t>
      </w:r>
    </w:p>
    <w:p/>
    <w:p/>
    <w:p>
      <w:pPr>
        <w:spacing w:after="120"/>
        <w:jc w:val="center"/>
      </w:pPr>
      <w:r>
        <w:rPr>
          <w:rFonts w:ascii="Times New Roman" w:hAnsi="Times New Roman"/>
          <w:b/>
          <w:i w:val="0"/>
          <w:color w:val="1B3A5C"/>
          <w:sz w:val="36"/>
        </w:rPr>
        <w:t>BẢN ĐẶC TẢ KIẾN TRÚC TỔNG THỂ</w:t>
      </w:r>
    </w:p>
    <w:p>
      <w:pPr>
        <w:spacing w:after="120"/>
        <w:jc w:val="center"/>
      </w:pPr>
      <w:r>
        <w:rPr>
          <w:rFonts w:ascii="Times New Roman" w:hAnsi="Times New Roman"/>
          <w:b/>
          <w:i w:val="0"/>
          <w:color w:val="1B3A5C"/>
          <w:sz w:val="32"/>
        </w:rPr>
        <w:t>NỀN TẢNG DỮ LIỆU (HYBRID DATA PLATFORM)</w:t>
      </w:r>
    </w:p>
    <w:p>
      <w:pPr>
        <w:spacing w:after="120"/>
        <w:jc w:val="center"/>
      </w:pPr>
      <w:r>
        <w:rPr>
          <w:rFonts w:ascii="Times New Roman" w:hAnsi="Times New Roman"/>
          <w:b/>
          <w:i w:val="0"/>
          <w:color w:val="1B3A5C"/>
          <w:sz w:val="28"/>
        </w:rPr>
        <w:t>MÔ HÌNH HUB - SPOKE GIỮA TỔNG CÔNG TY VÀ PTSC QUẢNG NGÃI (LEVEL 3)</w:t>
      </w:r>
    </w:p>
    <w:p/>
    <w:p>
      <w:pPr>
        <w:spacing w:after="120"/>
        <w:jc w:val="center"/>
      </w:pPr>
      <w:r>
        <w:rPr>
          <w:rFonts w:ascii="Times New Roman" w:hAnsi="Times New Roman"/>
          <w:b w:val="0"/>
          <w:i w:val="0"/>
          <w:color w:val="999999"/>
          <w:sz w:val="20"/>
        </w:rPr>
        <w:t>──────────────────────────────</w:t>
      </w:r>
    </w:p>
    <w:p/>
    <w:p>
      <w:pPr>
        <w:spacing w:after="120"/>
        <w:jc w:val="center"/>
      </w:pPr>
      <w:r>
        <w:rPr>
          <w:rFonts w:ascii="Times New Roman" w:hAnsi="Times New Roman"/>
          <w:b w:val="0"/>
          <w:i/>
          <w:sz w:val="26"/>
        </w:rPr>
        <w:t>Tài liệu tham chiếu:</w:t>
      </w:r>
    </w:p>
    <w:p>
      <w:pPr>
        <w:spacing w:after="120"/>
        <w:jc w:val="center"/>
      </w:pPr>
      <w:r>
        <w:rPr>
          <w:rFonts w:ascii="Times New Roman" w:hAnsi="Times New Roman"/>
          <w:b w:val="0"/>
          <w:i/>
          <w:sz w:val="26"/>
        </w:rPr>
        <w:t>- Báo cáo Đề xuất Kỹ thuật Nền tảng Dữ liệu PTSC</w:t>
      </w:r>
    </w:p>
    <w:p>
      <w:pPr>
        <w:spacing w:after="120"/>
        <w:jc w:val="center"/>
      </w:pPr>
      <w:r>
        <w:rPr>
          <w:rFonts w:ascii="Times New Roman" w:hAnsi="Times New Roman"/>
          <w:b w:val="0"/>
          <w:i/>
          <w:sz w:val="26"/>
        </w:rPr>
        <w:t>- Slide Hội thảo Data Platform Tổng công ty – Phiên Sáng &amp; Phiên Chiều</w:t>
      </w:r>
    </w:p>
    <w:p>
      <w:pPr>
        <w:spacing w:after="120"/>
        <w:jc w:val="center"/>
      </w:pPr>
      <w:r>
        <w:rPr>
          <w:rFonts w:ascii="Times New Roman" w:hAnsi="Times New Roman"/>
          <w:b w:val="0"/>
          <w:i/>
          <w:sz w:val="26"/>
        </w:rPr>
        <w:t>- Quy chế Quản trị Dữ liệu PTSC</w:t>
      </w:r>
    </w:p>
    <w:p>
      <w:pPr>
        <w:spacing w:after="120"/>
        <w:jc w:val="center"/>
      </w:pPr>
      <w:r>
        <w:rPr>
          <w:rFonts w:ascii="Times New Roman" w:hAnsi="Times New Roman"/>
          <w:b w:val="0"/>
          <w:i/>
          <w:sz w:val="26"/>
        </w:rPr>
        <w:t>Thời gian: Tháng 09/2026</w:t>
      </w:r>
    </w:p>
    <w:p>
      <w:r>
        <w:br w:type="page"/>
      </w:r>
    </w:p>
    <w:p>
      <w:pPr>
        <w:pStyle w:val="Heading1"/>
      </w:pPr>
      <w:r>
        <w:rPr>
          <w:rFonts w:ascii="Times New Roman" w:hAnsi="Times New Roman"/>
          <w:color w:val="1B3A5C"/>
        </w:rPr>
        <w:t>1. SƠ ĐỒ KIẾN TRÚC TỔNG THỂ TOÀN HỆ THỐNG (END-TO-END ARCHITECTURE)</w:t>
      </w:r>
    </w:p>
    <w:p>
      <w:pPr>
        <w:spacing w:after="120"/>
      </w:pPr>
      <w:r>
        <w:rPr>
          <w:rFonts w:ascii="Times New Roman" w:hAnsi="Times New Roman"/>
          <w:b w:val="0"/>
          <w:i w:val="0"/>
          <w:sz w:val="26"/>
        </w:rPr>
        <w:t>Sơ đồ luồng dữ liệu đi qua 4 tầng: Nguồn nội bộ Quảng Ngãi ➔ Trạm trung chuyển &amp; Vùng đệm kiểm duyệt (Landing Zone) ➔ Nền tảng On-premise Hub tại TCT ➔ Nền tảng Cloud Fabric (Tenant L3) &amp; Dashboard điều hành.</w:t>
      </w:r>
    </w:p>
    <w:p>
      <w:pPr>
        <w:pStyle w:val="Heading2"/>
      </w:pPr>
      <w:r>
        <w:rPr>
          <w:rFonts w:ascii="Times New Roman" w:hAnsi="Times New Roman"/>
          <w:color w:val="1B3A5C"/>
        </w:rPr>
        <w:t>Tầng 1: Cơ sở dữ liệu &amp; Phần mềm nội bộ (PTSC Quảng Ngãi)</w:t>
      </w:r>
    </w:p>
    <w:p>
      <w:pPr>
        <w:pStyle w:val="ListBullet"/>
        <w:ind w:left="567"/>
      </w:pPr>
      <w:r>
        <w:rPr>
          <w:rFonts w:ascii="Times New Roman" w:hAnsi="Times New Roman"/>
          <w:sz w:val="26"/>
        </w:rPr>
        <w:t>FAST Accounting (SQL Server): Sổ cái, Công nợ, Doanh thu, Chi phí</w:t>
      </w:r>
    </w:p>
    <w:p>
      <w:pPr>
        <w:pStyle w:val="ListBullet"/>
        <w:ind w:left="567"/>
      </w:pPr>
      <w:r>
        <w:rPr>
          <w:rFonts w:ascii="Times New Roman" w:hAnsi="Times New Roman"/>
          <w:sz w:val="26"/>
        </w:rPr>
        <w:t>MESx - PMSx - FBO (PostgreSQL): Tiến độ xưởng cơ khí, Vật tư chế tạo, Nhân lực ca kíp</w:t>
      </w:r>
    </w:p>
    <w:p>
      <w:pPr>
        <w:pStyle w:val="ListBullet"/>
        <w:ind w:left="567"/>
      </w:pPr>
      <w:r>
        <w:rPr>
          <w:rFonts w:ascii="Times New Roman" w:hAnsi="Times New Roman"/>
          <w:sz w:val="26"/>
        </w:rPr>
        <w:t>VTI - IRTECH (MySQL/Oracle): Khai thác Cầu Cảng, Sản lượng bãi, nâng hạ, Nhật trình xe cẩu, tàu</w:t>
      </w:r>
    </w:p>
    <w:p>
      <w:pPr>
        <w:pStyle w:val="ListBullet"/>
        <w:ind w:left="567"/>
      </w:pPr>
      <w:r>
        <w:rPr>
          <w:rFonts w:ascii="Times New Roman" w:hAnsi="Times New Roman"/>
          <w:sz w:val="26"/>
        </w:rPr>
        <w:t>HSEQ &amp; Mua sắm (REST API Ready): Quy trình phê duyệt, Quản lý nhà thầu phụ</w:t>
      </w:r>
    </w:p>
    <w:p>
      <w:pPr>
        <w:pStyle w:val="ListBullet"/>
        <w:ind w:left="567"/>
      </w:pPr>
      <w:r>
        <w:rPr>
          <w:rFonts w:ascii="Times New Roman" w:hAnsi="Times New Roman"/>
          <w:sz w:val="26"/>
        </w:rPr>
        <w:t>File nghiệp vụ phân tán: File Excel dự toán, Bảng chấm công ngoài bãi, Hồ sơ nghiệm thu PDF</w:t>
      </w:r>
    </w:p>
    <w:p>
      <w:pPr>
        <w:pStyle w:val="Heading2"/>
      </w:pPr>
      <w:r>
        <w:rPr>
          <w:rFonts w:ascii="Times New Roman" w:hAnsi="Times New Roman"/>
          <w:color w:val="1B3A5C"/>
        </w:rPr>
        <w:t>Tầng 2: Trạm trung chuyển Spoke &amp; Cổng phê duyệt (Nội bộ Quảng Ngãi)</w:t>
      </w:r>
    </w:p>
    <w:p>
      <w:pPr>
        <w:pStyle w:val="ListBullet"/>
        <w:ind w:left="567"/>
      </w:pPr>
      <w:r>
        <w:rPr>
          <w:rFonts w:ascii="Times New Roman" w:hAnsi="Times New Roman"/>
          <w:sz w:val="26"/>
        </w:rPr>
        <w:t>Integration Agent / CDC: Thu thập dữ liệu tự động / Batch / API</w:t>
      </w:r>
    </w:p>
    <w:p>
      <w:pPr>
        <w:pStyle w:val="ListBullet"/>
        <w:ind w:left="567"/>
      </w:pPr>
      <w:r>
        <w:rPr>
          <w:rFonts w:ascii="Times New Roman" w:hAnsi="Times New Roman"/>
          <w:sz w:val="26"/>
        </w:rPr>
        <w:t>Vùng đệm kiểm duyệt (Landing Zone): Lưu trữ tạm thời, kiểm tra Schema, đối soát Master Data</w:t>
      </w:r>
    </w:p>
    <w:p>
      <w:pPr>
        <w:pStyle w:val="ListBullet"/>
        <w:ind w:left="567"/>
      </w:pPr>
      <w:r>
        <w:rPr>
          <w:rFonts w:ascii="Times New Roman" w:hAnsi="Times New Roman"/>
          <w:sz w:val="26"/>
        </w:rPr>
        <w:t>Cổng phê duyệt &amp; Bảo mật: Lãnh đạo duyệt (Data Owner Cấp 3), Module Lọc &amp; Che dữ liệu (Masking)</w:t>
      </w:r>
    </w:p>
    <w:p>
      <w:pPr>
        <w:pStyle w:val="Heading2"/>
      </w:pPr>
      <w:r>
        <w:rPr>
          <w:rFonts w:ascii="Times New Roman" w:hAnsi="Times New Roman"/>
          <w:color w:val="1B3A5C"/>
        </w:rPr>
        <w:t>Tầng 3: Nền tảng On-Premise Hub tập trung (Data Center Tổng công ty)</w:t>
      </w:r>
    </w:p>
    <w:p>
      <w:pPr>
        <w:pStyle w:val="ListBullet"/>
        <w:ind w:left="567"/>
      </w:pPr>
      <w:r>
        <w:rPr>
          <w:rFonts w:ascii="Times New Roman" w:hAnsi="Times New Roman"/>
          <w:sz w:val="26"/>
        </w:rPr>
        <w:t>Phân vùng Mạng &amp; ATTT: Firewall &amp; WAF, VPN IPSec Gateway</w:t>
      </w:r>
    </w:p>
    <w:p>
      <w:pPr>
        <w:pStyle w:val="ListBullet"/>
        <w:ind w:left="567"/>
      </w:pPr>
      <w:r>
        <w:rPr>
          <w:rFonts w:ascii="Times New Roman" w:hAnsi="Times New Roman"/>
          <w:sz w:val="26"/>
        </w:rPr>
        <w:t>Trục tích hợp &amp; Quản trị dữ liệu lõi: Trục tích hợp ESB (WSO2 / Camel), Hệ thống Dữ liệu chủ MDM</w:t>
      </w:r>
    </w:p>
    <w:p>
      <w:pPr>
        <w:pStyle w:val="ListBullet"/>
        <w:ind w:left="567"/>
      </w:pPr>
      <w:r>
        <w:rPr>
          <w:rFonts w:ascii="Times New Roman" w:hAnsi="Times New Roman"/>
          <w:sz w:val="26"/>
        </w:rPr>
        <w:t>Hồ chứa dữ liệu tại chỗ: Bronze Zone (Raw Data Store), Silver Zone (Cleaned Data Store)</w:t>
      </w:r>
    </w:p>
    <w:p>
      <w:pPr>
        <w:pStyle w:val="ListBullet"/>
        <w:ind w:left="567"/>
      </w:pPr>
      <w:r>
        <w:rPr>
          <w:rFonts w:ascii="Times New Roman" w:hAnsi="Times New Roman"/>
          <w:sz w:val="26"/>
        </w:rPr>
        <w:t>Giám sát An ninh &amp; Kiểm toán: SIEM / SOC 24/7, Quản lý định danh IAM / Keycloak</w:t>
      </w:r>
    </w:p>
    <w:p>
      <w:pPr>
        <w:pStyle w:val="Heading2"/>
      </w:pPr>
      <w:r>
        <w:rPr>
          <w:rFonts w:ascii="Times New Roman" w:hAnsi="Times New Roman"/>
          <w:color w:val="1B3A5C"/>
        </w:rPr>
        <w:t>Tầng 4: Cloud Data Platform &amp; Phân vùng Tenant L3 (Microsoft Fabric)</w:t>
      </w:r>
    </w:p>
    <w:p>
      <w:pPr>
        <w:pStyle w:val="ListBullet"/>
        <w:ind w:left="567"/>
      </w:pPr>
      <w:r>
        <w:rPr>
          <w:rFonts w:ascii="Times New Roman" w:hAnsi="Times New Roman"/>
          <w:sz w:val="26"/>
        </w:rPr>
        <w:t>Workspace L3 - PTSC Quảng Ngãi (Độc lập hoàn toàn): Gold Zone (OneLake), Data Factory Pipelines, Semantic Models, Power BI Reports</w:t>
      </w:r>
    </w:p>
    <w:p>
      <w:pPr>
        <w:pStyle w:val="ListBullet"/>
        <w:ind w:left="567"/>
      </w:pPr>
      <w:r>
        <w:rPr>
          <w:rFonts w:ascii="Times New Roman" w:hAnsi="Times New Roman"/>
          <w:sz w:val="26"/>
        </w:rPr>
        <w:t>Workspace Tổng công ty (Hợp nhất toàn TCT): Kho dữ liệu Hợp nhất TCT, Dashboard Lãnh đạo TCT</w:t>
      </w:r>
    </w:p>
    <w:p>
      <w:pPr>
        <w:pStyle w:val="ListBullet"/>
        <w:ind w:left="567"/>
      </w:pPr>
      <w:r>
        <w:rPr>
          <w:rFonts w:ascii="Times New Roman" w:hAnsi="Times New Roman"/>
          <w:sz w:val="26"/>
        </w:rPr>
        <w:t>Microsoft Purview: Data Governance &amp; Catalog toàn hệ thống</w:t>
      </w:r>
    </w:p>
    <w:p>
      <w:r>
        <w:br w:type="page"/>
      </w:r>
    </w:p>
    <w:p>
      <w:pPr>
        <w:pStyle w:val="Heading1"/>
      </w:pPr>
      <w:r>
        <w:rPr>
          <w:rFonts w:ascii="Times New Roman" w:hAnsi="Times New Roman"/>
          <w:color w:val="1B3A5C"/>
        </w:rPr>
        <w:t>2. CỔNG QUYẾT ĐỊNH DỮ LIỆU: CÁI GÌ ĐẨY LÊN, CÁI GÌ GIỮ LẠI?</w:t>
      </w:r>
    </w:p>
    <w:p>
      <w:pPr>
        <w:spacing w:after="120"/>
      </w:pPr>
      <w:r>
        <w:rPr>
          <w:rFonts w:ascii="Times New Roman" w:hAnsi="Times New Roman"/>
          <w:b w:val="0"/>
          <w:i w:val="0"/>
          <w:sz w:val="26"/>
        </w:rPr>
        <w:t>Đây là cơ chế kỹ thuật cốt lõi giải tỏa lo lắng của Ban Giám đốc về an toàn bí mật kinh doanh. Dữ liệu trước khi ra khỏi mạng nội bộ của Quảng Ngãi phải đi qua Bộ lọc phân loại 3 mức:</w:t>
      </w:r>
    </w:p>
    <w:p>
      <w:pPr>
        <w:pStyle w:val="Heading2"/>
      </w:pPr>
      <w:r>
        <w:rPr>
          <w:rFonts w:ascii="Times New Roman" w:hAnsi="Times New Roman"/>
          <w:color w:val="1B3A5C"/>
        </w:rPr>
        <w:t>Mức 1: Dữ liệu bí mật &amp; cá nhân (Giữ lại 100% tại Quảng Ngãi)</w:t>
      </w:r>
    </w:p>
    <w:p>
      <w:pPr>
        <w:pStyle w:val="ListBullet"/>
        <w:ind w:left="567"/>
      </w:pPr>
      <w:r>
        <w:rPr>
          <w:rFonts w:ascii="Times New Roman" w:hAnsi="Times New Roman"/>
          <w:sz w:val="26"/>
        </w:rPr>
        <w:t>Chi tiết mức lương từng cán bộ, nhân viên</w:t>
      </w:r>
    </w:p>
    <w:p>
      <w:pPr>
        <w:pStyle w:val="ListBullet"/>
        <w:ind w:left="567"/>
      </w:pPr>
      <w:r>
        <w:rPr>
          <w:rFonts w:ascii="Times New Roman" w:hAnsi="Times New Roman"/>
          <w:sz w:val="26"/>
        </w:rPr>
        <w:t>Số CCCD, số tài khoản ngân hàng cá nhân</w:t>
      </w:r>
    </w:p>
    <w:p>
      <w:pPr>
        <w:pStyle w:val="ListBullet"/>
        <w:ind w:left="567"/>
      </w:pPr>
      <w:r>
        <w:rPr>
          <w:rFonts w:ascii="Times New Roman" w:hAnsi="Times New Roman"/>
          <w:sz w:val="26"/>
        </w:rPr>
        <w:t>Dự toán nội bộ các gói thầu đang chuẩn bị đấu thầu</w:t>
      </w:r>
    </w:p>
    <w:p>
      <w:pPr>
        <w:pStyle w:val="ListBullet"/>
        <w:ind w:left="567"/>
      </w:pPr>
      <w:r>
        <w:rPr>
          <w:rFonts w:ascii="Times New Roman" w:hAnsi="Times New Roman"/>
          <w:sz w:val="26"/>
        </w:rPr>
        <w:t>Hồ sơ khiếu nại, tranh chấp hợp đồng riêng</w:t>
      </w:r>
    </w:p>
    <w:p>
      <w:pPr>
        <w:pStyle w:val="Heading2"/>
      </w:pPr>
      <w:r>
        <w:rPr>
          <w:rFonts w:ascii="Times New Roman" w:hAnsi="Times New Roman"/>
          <w:color w:val="1B3A5C"/>
        </w:rPr>
        <w:t>Mức 2: Dữ liệu chuyên ngành nội bộ (Lưu vào Workspace L3 của Quảng Ngãi)</w:t>
      </w:r>
    </w:p>
    <w:p>
      <w:pPr>
        <w:pStyle w:val="ListBullet"/>
        <w:ind w:left="567"/>
      </w:pPr>
      <w:r>
        <w:rPr>
          <w:rFonts w:ascii="Times New Roman" w:hAnsi="Times New Roman"/>
          <w:sz w:val="26"/>
        </w:rPr>
        <w:t>Chi tiết nhật trình từng chuyến xe cẩu, tàu lai dắt tại Cảng</w:t>
      </w:r>
    </w:p>
    <w:p>
      <w:pPr>
        <w:pStyle w:val="ListBullet"/>
        <w:ind w:left="567"/>
      </w:pPr>
      <w:r>
        <w:rPr>
          <w:rFonts w:ascii="Times New Roman" w:hAnsi="Times New Roman"/>
          <w:sz w:val="26"/>
        </w:rPr>
        <w:t>Sản lượng chi tiết từng phân xưởng cơ khí Dung Quất</w:t>
      </w:r>
    </w:p>
    <w:p>
      <w:pPr>
        <w:pStyle w:val="ListBullet"/>
        <w:ind w:left="567"/>
      </w:pPr>
      <w:r>
        <w:rPr>
          <w:rFonts w:ascii="Times New Roman" w:hAnsi="Times New Roman"/>
          <w:sz w:val="26"/>
        </w:rPr>
        <w:t>Nhật ký công trường, chấm công hàng ngày theo ca kíp</w:t>
      </w:r>
    </w:p>
    <w:p>
      <w:pPr>
        <w:pStyle w:val="ListBullet"/>
        <w:ind w:left="567"/>
      </w:pPr>
      <w:r>
        <w:rPr>
          <w:rFonts w:ascii="Times New Roman" w:hAnsi="Times New Roman"/>
          <w:sz w:val="26"/>
        </w:rPr>
        <w:t>Báo cáo quản trị tài chính nội bộ phục vụ riêng Ban Giám đốc QN</w:t>
      </w:r>
    </w:p>
    <w:p>
      <w:pPr>
        <w:pStyle w:val="Heading2"/>
      </w:pPr>
      <w:r>
        <w:rPr>
          <w:rFonts w:ascii="Times New Roman" w:hAnsi="Times New Roman"/>
          <w:color w:val="1B3A5C"/>
        </w:rPr>
        <w:t>Mức 3: Dữ liệu báo cáo hợp nhất (Đồng bộ về Hub Tổng công ty)</w:t>
      </w:r>
    </w:p>
    <w:p>
      <w:pPr>
        <w:pStyle w:val="ListBullet"/>
        <w:ind w:left="567"/>
      </w:pPr>
      <w:r>
        <w:rPr>
          <w:rFonts w:ascii="Times New Roman" w:hAnsi="Times New Roman"/>
          <w:sz w:val="26"/>
        </w:rPr>
        <w:t>Báo cáo tổng hợp Doanh thu - Lợi nhuận định kỳ</w:t>
      </w:r>
    </w:p>
    <w:p>
      <w:pPr>
        <w:pStyle w:val="ListBullet"/>
        <w:ind w:left="567"/>
      </w:pPr>
      <w:r>
        <w:rPr>
          <w:rFonts w:ascii="Times New Roman" w:hAnsi="Times New Roman"/>
          <w:sz w:val="26"/>
        </w:rPr>
        <w:t>Tổng số lượng lao động &amp; Tổng quỹ lương công ty</w:t>
      </w:r>
    </w:p>
    <w:p>
      <w:pPr>
        <w:pStyle w:val="ListBullet"/>
        <w:ind w:left="567"/>
      </w:pPr>
      <w:r>
        <w:rPr>
          <w:rFonts w:ascii="Times New Roman" w:hAnsi="Times New Roman"/>
          <w:sz w:val="26"/>
        </w:rPr>
        <w:t>Danh mục Master Data: Mã Khách hàng, Nhà cung cấp chuẩn</w:t>
      </w:r>
    </w:p>
    <w:p>
      <w:pPr>
        <w:pStyle w:val="ListBullet"/>
        <w:ind w:left="567"/>
      </w:pPr>
      <w:r>
        <w:rPr>
          <w:rFonts w:ascii="Times New Roman" w:hAnsi="Times New Roman"/>
          <w:sz w:val="26"/>
        </w:rPr>
        <w:t>Báo cáo An toàn HSE, sự cố kỹ thuật theo quy định TCT</w:t>
      </w:r>
    </w:p>
    <w:p>
      <w:pPr>
        <w:pStyle w:val="Heading1"/>
      </w:pPr>
      <w:r>
        <w:rPr>
          <w:rFonts w:ascii="Times New Roman" w:hAnsi="Times New Roman"/>
          <w:color w:val="1B3A5C"/>
        </w:rPr>
        <w:t>3. CƠ CHẾ VÙNG ĐỆM KIỂM DUYỆT (LANDING ZONE) HOẠT ĐỘNG THẾ NÀO?</w:t>
      </w:r>
    </w:p>
    <w:p>
      <w:pPr>
        <w:spacing w:after="120"/>
      </w:pPr>
      <w:r>
        <w:rPr>
          <w:rFonts w:ascii="Times New Roman" w:hAnsi="Times New Roman"/>
          <w:b w:val="0"/>
          <w:i w:val="0"/>
          <w:sz w:val="26"/>
        </w:rPr>
        <w:t>Cơ chế vận hành vùng đệm gồm các bước kỹ thuật nghiêm ngặt:</w:t>
      </w:r>
    </w:p>
    <w:p>
      <w:pPr>
        <w:pStyle w:val="ListBullet"/>
        <w:ind w:left="567"/>
      </w:pPr>
      <w:r>
        <w:rPr>
          <w:rFonts w:ascii="Times New Roman" w:hAnsi="Times New Roman"/>
          <w:sz w:val="26"/>
        </w:rPr>
        <w:t>Bước 1 (Tự động): Trích xuất tự động vào nửa đêm từ các phần mềm (FAST, MESx, VTI, HSEQ) đưa vào Landing Zone.</w:t>
      </w:r>
    </w:p>
    <w:p>
      <w:pPr>
        <w:pStyle w:val="ListBullet"/>
        <w:ind w:left="567"/>
      </w:pPr>
      <w:r>
        <w:rPr>
          <w:rFonts w:ascii="Times New Roman" w:hAnsi="Times New Roman"/>
          <w:sz w:val="26"/>
        </w:rPr>
        <w:t>Bước 2 (Kiểm tra hệ thống): Chạy Validation Rule tự động kiểm tra Schema, Master Data và An toàn (PII).</w:t>
      </w:r>
    </w:p>
    <w:p>
      <w:pPr>
        <w:pStyle w:val="ListBullet"/>
        <w:ind w:left="567"/>
      </w:pPr>
      <w:r>
        <w:rPr>
          <w:rFonts w:ascii="Times New Roman" w:hAnsi="Times New Roman"/>
          <w:sz w:val="26"/>
        </w:rPr>
        <w:t>Bước 3 (Phê duyệt thủ công): Cán bộ IT soát lỗi kỹ thuật, Lãnh đạo đơn vị (Data Owner) duyệt nội dung trên giao diện.</w:t>
      </w:r>
    </w:p>
    <w:p>
      <w:pPr>
        <w:pStyle w:val="ListBullet"/>
        <w:ind w:left="567"/>
      </w:pPr>
      <w:r>
        <w:rPr>
          <w:rFonts w:ascii="Times New Roman" w:hAnsi="Times New Roman"/>
          <w:sz w:val="26"/>
        </w:rPr>
        <w:t>Bước 4 (Đồng bộ hoặc Hủy): Nếu Approve, dữ liệu được mã hóa đẩy qua VPN về Hub. Nếu Reject, hệ thống tạm dừng và gửi email cảnh báo lỗi về phòng ban.</w:t>
      </w:r>
    </w:p>
    <w:p>
      <w:pPr>
        <w:pStyle w:val="Heading1"/>
      </w:pPr>
      <w:r>
        <w:rPr>
          <w:rFonts w:ascii="Times New Roman" w:hAnsi="Times New Roman"/>
          <w:color w:val="1B3A5C"/>
        </w:rPr>
        <w:t>4. MA TRẬN PHÂN QUYỀN (RBAC / ABAC) GIỮA CÁC ĐỐI TƯỢNG</w:t>
      </w:r>
    </w:p>
    <w:p>
      <w:pPr>
        <w:spacing w:after="120"/>
      </w:pPr>
      <w:r>
        <w:rPr>
          <w:rFonts w:ascii="Times New Roman" w:hAnsi="Times New Roman"/>
          <w:b w:val="0"/>
          <w:i w:val="0"/>
          <w:sz w:val="26"/>
        </w:rPr>
        <w:t>Hệ thống sử dụng cơ chế định danh tập trung kết hợp phân quyền theo vai trò (Role-Based Access Control):</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701"/>
            <w:shd w:fill="1B3A5C"/>
          </w:tcPr>
          <w:p>
            <w:pPr>
              <w:jc w:val="center"/>
            </w:pPr>
            <w:r/>
            <w:r>
              <w:rPr>
                <w:rFonts w:ascii="Times New Roman" w:hAnsi="Times New Roman"/>
                <w:b/>
                <w:color w:val="FFFFFF"/>
                <w:sz w:val="22"/>
              </w:rPr>
              <w:t>Đối tượng người dùng</w:t>
            </w:r>
          </w:p>
        </w:tc>
        <w:tc>
          <w:tcPr>
            <w:tcW w:type="dxa" w:w="1701"/>
            <w:shd w:fill="1B3A5C"/>
          </w:tcPr>
          <w:p>
            <w:pPr>
              <w:jc w:val="center"/>
            </w:pPr>
            <w:r/>
            <w:r>
              <w:rPr>
                <w:rFonts w:ascii="Times New Roman" w:hAnsi="Times New Roman"/>
                <w:b/>
                <w:color w:val="FFFFFF"/>
                <w:sz w:val="22"/>
              </w:rPr>
              <w:t>Xem số liệu Quảng Ngãi</w:t>
            </w:r>
          </w:p>
        </w:tc>
        <w:tc>
          <w:tcPr>
            <w:tcW w:type="dxa" w:w="1417"/>
            <w:shd w:fill="1B3A5C"/>
          </w:tcPr>
          <w:p>
            <w:pPr>
              <w:jc w:val="center"/>
            </w:pPr>
            <w:r/>
            <w:r>
              <w:rPr>
                <w:rFonts w:ascii="Times New Roman" w:hAnsi="Times New Roman"/>
                <w:b/>
                <w:color w:val="FFFFFF"/>
                <w:sz w:val="22"/>
              </w:rPr>
              <w:t>Xem số liệu ĐVTV khác</w:t>
            </w:r>
          </w:p>
        </w:tc>
        <w:tc>
          <w:tcPr>
            <w:tcW w:type="dxa" w:w="1701"/>
            <w:shd w:fill="1B3A5C"/>
          </w:tcPr>
          <w:p>
            <w:pPr>
              <w:jc w:val="center"/>
            </w:pPr>
            <w:r/>
            <w:r>
              <w:rPr>
                <w:rFonts w:ascii="Times New Roman" w:hAnsi="Times New Roman"/>
                <w:b/>
                <w:color w:val="FFFFFF"/>
                <w:sz w:val="22"/>
              </w:rPr>
              <w:t>Xem Báo cáo Hợp nhất</w:t>
            </w:r>
          </w:p>
        </w:tc>
        <w:tc>
          <w:tcPr>
            <w:tcW w:type="dxa" w:w="2835"/>
            <w:shd w:fill="1B3A5C"/>
          </w:tcPr>
          <w:p>
            <w:pPr>
              <w:jc w:val="center"/>
            </w:pPr>
            <w:r/>
            <w:r>
              <w:rPr>
                <w:rFonts w:ascii="Times New Roman" w:hAnsi="Times New Roman"/>
                <w:b/>
                <w:color w:val="FFFFFF"/>
                <w:sz w:val="22"/>
              </w:rPr>
              <w:t>Quyền hạn trên Tenant L3 Quảng Ngãi</w:t>
            </w:r>
          </w:p>
        </w:tc>
      </w:tr>
      <w:tr>
        <w:tc>
          <w:tcPr>
            <w:tcW w:type="dxa" w:w="1701"/>
          </w:tcPr>
          <w:p>
            <w:r/>
            <w:r>
              <w:rPr>
                <w:rFonts w:ascii="Times New Roman" w:hAnsi="Times New Roman"/>
                <w:sz w:val="22"/>
              </w:rPr>
              <w:t>Ban Giám đốc PTSC Quảng Ngãi</w:t>
            </w:r>
          </w:p>
        </w:tc>
        <w:tc>
          <w:tcPr>
            <w:tcW w:type="dxa" w:w="1701"/>
          </w:tcPr>
          <w:p>
            <w:r/>
            <w:r>
              <w:rPr>
                <w:rFonts w:ascii="Times New Roman" w:hAnsi="Times New Roman"/>
                <w:sz w:val="22"/>
              </w:rPr>
              <w:t>Toàn quyền 100%</w:t>
            </w:r>
          </w:p>
        </w:tc>
        <w:tc>
          <w:tcPr>
            <w:tcW w:type="dxa" w:w="1417"/>
          </w:tcPr>
          <w:p>
            <w:r/>
            <w:r>
              <w:rPr>
                <w:rFonts w:ascii="Times New Roman" w:hAnsi="Times New Roman"/>
                <w:sz w:val="22"/>
              </w:rPr>
              <w:t>Không</w:t>
            </w:r>
          </w:p>
        </w:tc>
        <w:tc>
          <w:tcPr>
            <w:tcW w:type="dxa" w:w="1701"/>
          </w:tcPr>
          <w:p>
            <w:r/>
            <w:r>
              <w:rPr>
                <w:rFonts w:ascii="Times New Roman" w:hAnsi="Times New Roman"/>
                <w:sz w:val="22"/>
              </w:rPr>
              <w:t>Chỉ tiêu TCT giao</w:t>
            </w:r>
          </w:p>
        </w:tc>
        <w:tc>
          <w:tcPr>
            <w:tcW w:type="dxa" w:w="2835"/>
          </w:tcPr>
          <w:p>
            <w:r/>
            <w:r>
              <w:rPr>
                <w:rFonts w:ascii="Times New Roman" w:hAnsi="Times New Roman"/>
                <w:sz w:val="22"/>
              </w:rPr>
              <w:t>Data Owner Cấp 3: Quyết định phê duyệt dữ liệu.</w:t>
            </w:r>
          </w:p>
        </w:tc>
      </w:tr>
      <w:tr>
        <w:tc>
          <w:tcPr>
            <w:tcW w:type="dxa" w:w="1701"/>
            <w:shd w:fill="EFF6FF"/>
          </w:tcPr>
          <w:p>
            <w:r/>
            <w:r>
              <w:rPr>
                <w:rFonts w:ascii="Times New Roman" w:hAnsi="Times New Roman"/>
                <w:sz w:val="22"/>
              </w:rPr>
              <w:t>Trưởng phòng / Key User QN</w:t>
            </w:r>
          </w:p>
        </w:tc>
        <w:tc>
          <w:tcPr>
            <w:tcW w:type="dxa" w:w="1701"/>
            <w:shd w:fill="EFF6FF"/>
          </w:tcPr>
          <w:p>
            <w:r/>
            <w:r>
              <w:rPr>
                <w:rFonts w:ascii="Times New Roman" w:hAnsi="Times New Roman"/>
                <w:sz w:val="22"/>
              </w:rPr>
              <w:t>Theo phân quyền</w:t>
            </w:r>
          </w:p>
        </w:tc>
        <w:tc>
          <w:tcPr>
            <w:tcW w:type="dxa" w:w="1417"/>
            <w:shd w:fill="EFF6FF"/>
          </w:tcPr>
          <w:p>
            <w:r/>
            <w:r>
              <w:rPr>
                <w:rFonts w:ascii="Times New Roman" w:hAnsi="Times New Roman"/>
                <w:sz w:val="22"/>
              </w:rPr>
              <w:t>Không</w:t>
            </w:r>
          </w:p>
        </w:tc>
        <w:tc>
          <w:tcPr>
            <w:tcW w:type="dxa" w:w="1701"/>
            <w:shd w:fill="EFF6FF"/>
          </w:tcPr>
          <w:p>
            <w:r/>
            <w:r>
              <w:rPr>
                <w:rFonts w:ascii="Times New Roman" w:hAnsi="Times New Roman"/>
                <w:sz w:val="22"/>
              </w:rPr>
              <w:t>Không</w:t>
            </w:r>
          </w:p>
        </w:tc>
        <w:tc>
          <w:tcPr>
            <w:tcW w:type="dxa" w:w="2835"/>
            <w:shd w:fill="EFF6FF"/>
          </w:tcPr>
          <w:p>
            <w:r/>
            <w:r>
              <w:rPr>
                <w:rFonts w:ascii="Times New Roman" w:hAnsi="Times New Roman"/>
                <w:sz w:val="22"/>
              </w:rPr>
              <w:t>Data Contributor: Xem Dashboard chuyên ngành.</w:t>
            </w:r>
          </w:p>
        </w:tc>
      </w:tr>
      <w:tr>
        <w:tc>
          <w:tcPr>
            <w:tcW w:type="dxa" w:w="1701"/>
          </w:tcPr>
          <w:p>
            <w:r/>
            <w:r>
              <w:rPr>
                <w:rFonts w:ascii="Times New Roman" w:hAnsi="Times New Roman"/>
                <w:sz w:val="22"/>
              </w:rPr>
              <w:t>Admin IT PTSC Quảng Ngãi</w:t>
            </w:r>
          </w:p>
        </w:tc>
        <w:tc>
          <w:tcPr>
            <w:tcW w:type="dxa" w:w="1701"/>
          </w:tcPr>
          <w:p>
            <w:r/>
            <w:r>
              <w:rPr>
                <w:rFonts w:ascii="Times New Roman" w:hAnsi="Times New Roman"/>
                <w:sz w:val="22"/>
              </w:rPr>
              <w:t>Quản trị kỹ thuật</w:t>
            </w:r>
          </w:p>
        </w:tc>
        <w:tc>
          <w:tcPr>
            <w:tcW w:type="dxa" w:w="1417"/>
          </w:tcPr>
          <w:p>
            <w:r/>
            <w:r>
              <w:rPr>
                <w:rFonts w:ascii="Times New Roman" w:hAnsi="Times New Roman"/>
                <w:sz w:val="22"/>
              </w:rPr>
              <w:t>Không</w:t>
            </w:r>
          </w:p>
        </w:tc>
        <w:tc>
          <w:tcPr>
            <w:tcW w:type="dxa" w:w="1701"/>
          </w:tcPr>
          <w:p>
            <w:r/>
            <w:r>
              <w:rPr>
                <w:rFonts w:ascii="Times New Roman" w:hAnsi="Times New Roman"/>
                <w:sz w:val="22"/>
              </w:rPr>
              <w:t>Không</w:t>
            </w:r>
          </w:p>
        </w:tc>
        <w:tc>
          <w:tcPr>
            <w:tcW w:type="dxa" w:w="2835"/>
          </w:tcPr>
          <w:p>
            <w:r/>
            <w:r>
              <w:rPr>
                <w:rFonts w:ascii="Times New Roman" w:hAnsi="Times New Roman"/>
                <w:sz w:val="22"/>
              </w:rPr>
              <w:t>Data Steward Cấp 4: Quản trị luồng Pipeline, tạo báo cáo.</w:t>
            </w:r>
          </w:p>
        </w:tc>
      </w:tr>
      <w:tr>
        <w:tc>
          <w:tcPr>
            <w:tcW w:type="dxa" w:w="1701"/>
            <w:shd w:fill="EFF6FF"/>
          </w:tcPr>
          <w:p>
            <w:r/>
            <w:r>
              <w:rPr>
                <w:rFonts w:ascii="Times New Roman" w:hAnsi="Times New Roman"/>
                <w:sz w:val="22"/>
              </w:rPr>
              <w:t>Lãnh đạo Ban TGĐ TCT</w:t>
            </w:r>
          </w:p>
        </w:tc>
        <w:tc>
          <w:tcPr>
            <w:tcW w:type="dxa" w:w="1701"/>
            <w:shd w:fill="EFF6FF"/>
          </w:tcPr>
          <w:p>
            <w:r/>
            <w:r>
              <w:rPr>
                <w:rFonts w:ascii="Times New Roman" w:hAnsi="Times New Roman"/>
                <w:sz w:val="22"/>
              </w:rPr>
              <w:t>Chỉ xem số liệu hợp nhất</w:t>
            </w:r>
          </w:p>
        </w:tc>
        <w:tc>
          <w:tcPr>
            <w:tcW w:type="dxa" w:w="1417"/>
            <w:shd w:fill="EFF6FF"/>
          </w:tcPr>
          <w:p>
            <w:r/>
            <w:r>
              <w:rPr>
                <w:rFonts w:ascii="Times New Roman" w:hAnsi="Times New Roman"/>
                <w:sz w:val="22"/>
              </w:rPr>
              <w:t>Xem tổng hợp ĐVTV</w:t>
            </w:r>
          </w:p>
        </w:tc>
        <w:tc>
          <w:tcPr>
            <w:tcW w:type="dxa" w:w="1701"/>
            <w:shd w:fill="EFF6FF"/>
          </w:tcPr>
          <w:p>
            <w:r/>
            <w:r>
              <w:rPr>
                <w:rFonts w:ascii="Times New Roman" w:hAnsi="Times New Roman"/>
                <w:sz w:val="22"/>
              </w:rPr>
              <w:t>Toàn quyền TCT</w:t>
            </w:r>
          </w:p>
        </w:tc>
        <w:tc>
          <w:tcPr>
            <w:tcW w:type="dxa" w:w="2835"/>
            <w:shd w:fill="EFF6FF"/>
          </w:tcPr>
          <w:p>
            <w:r/>
            <w:r>
              <w:rPr>
                <w:rFonts w:ascii="Times New Roman" w:hAnsi="Times New Roman"/>
                <w:sz w:val="22"/>
              </w:rPr>
              <w:t>Không có quyền xem chi tiết nội bộ trong Tenant QN.</w:t>
            </w:r>
          </w:p>
        </w:tc>
      </w:tr>
      <w:tr>
        <w:tc>
          <w:tcPr>
            <w:tcW w:type="dxa" w:w="1701"/>
          </w:tcPr>
          <w:p>
            <w:r/>
            <w:r>
              <w:rPr>
                <w:rFonts w:ascii="Times New Roman" w:hAnsi="Times New Roman"/>
                <w:sz w:val="22"/>
              </w:rPr>
              <w:t>Đội IT TCT (Admin Level 5)</w:t>
            </w:r>
          </w:p>
        </w:tc>
        <w:tc>
          <w:tcPr>
            <w:tcW w:type="dxa" w:w="1701"/>
          </w:tcPr>
          <w:p>
            <w:r/>
            <w:r>
              <w:rPr>
                <w:rFonts w:ascii="Times New Roman" w:hAnsi="Times New Roman"/>
                <w:sz w:val="22"/>
              </w:rPr>
              <w:t>Chỉ thấy trạng thái Server</w:t>
            </w:r>
          </w:p>
        </w:tc>
        <w:tc>
          <w:tcPr>
            <w:tcW w:type="dxa" w:w="1417"/>
          </w:tcPr>
          <w:p>
            <w:r/>
            <w:r>
              <w:rPr>
                <w:rFonts w:ascii="Times New Roman" w:hAnsi="Times New Roman"/>
                <w:sz w:val="22"/>
              </w:rPr>
              <w:t>Chỉ thấy Server</w:t>
            </w:r>
          </w:p>
        </w:tc>
        <w:tc>
          <w:tcPr>
            <w:tcW w:type="dxa" w:w="1701"/>
          </w:tcPr>
          <w:p>
            <w:r/>
            <w:r>
              <w:rPr>
                <w:rFonts w:ascii="Times New Roman" w:hAnsi="Times New Roman"/>
                <w:sz w:val="22"/>
              </w:rPr>
              <w:t>Vận hành hạ tầng</w:t>
            </w:r>
          </w:p>
        </w:tc>
        <w:tc>
          <w:tcPr>
            <w:tcW w:type="dxa" w:w="2835"/>
          </w:tcPr>
          <w:p>
            <w:r/>
            <w:r>
              <w:rPr>
                <w:rFonts w:ascii="Times New Roman" w:hAnsi="Times New Roman"/>
                <w:sz w:val="22"/>
              </w:rPr>
              <w:t>Không được cấp quyền xem dữ liệu nghiệp vụ.</w:t>
            </w:r>
          </w:p>
        </w:tc>
      </w:tr>
      <w:tr>
        <w:tc>
          <w:tcPr>
            <w:tcW w:type="dxa" w:w="1701"/>
            <w:shd w:fill="EFF6FF"/>
          </w:tcPr>
          <w:p>
            <w:r/>
            <w:r>
              <w:rPr>
                <w:rFonts w:ascii="Times New Roman" w:hAnsi="Times New Roman"/>
                <w:sz w:val="22"/>
              </w:rPr>
              <w:t>Các Đơn vị bạn (PTSC M&amp;C...)</w:t>
            </w:r>
          </w:p>
        </w:tc>
        <w:tc>
          <w:tcPr>
            <w:tcW w:type="dxa" w:w="1701"/>
            <w:shd w:fill="EFF6FF"/>
          </w:tcPr>
          <w:p>
            <w:r/>
            <w:r>
              <w:rPr>
                <w:rFonts w:ascii="Times New Roman" w:hAnsi="Times New Roman"/>
                <w:sz w:val="22"/>
              </w:rPr>
              <w:t>Tuyệt đối cấm</w:t>
            </w:r>
          </w:p>
        </w:tc>
        <w:tc>
          <w:tcPr>
            <w:tcW w:type="dxa" w:w="1417"/>
            <w:shd w:fill="EFF6FF"/>
          </w:tcPr>
          <w:p>
            <w:r/>
            <w:r>
              <w:rPr>
                <w:rFonts w:ascii="Times New Roman" w:hAnsi="Times New Roman"/>
                <w:sz w:val="22"/>
              </w:rPr>
              <w:t>Chỉ thấy đơn vị họ</w:t>
            </w:r>
          </w:p>
        </w:tc>
        <w:tc>
          <w:tcPr>
            <w:tcW w:type="dxa" w:w="1701"/>
            <w:shd w:fill="EFF6FF"/>
          </w:tcPr>
          <w:p>
            <w:r/>
            <w:r>
              <w:rPr>
                <w:rFonts w:ascii="Times New Roman" w:hAnsi="Times New Roman"/>
                <w:sz w:val="22"/>
              </w:rPr>
              <w:t>Không</w:t>
            </w:r>
          </w:p>
        </w:tc>
        <w:tc>
          <w:tcPr>
            <w:tcW w:type="dxa" w:w="2835"/>
            <w:shd w:fill="EFF6FF"/>
          </w:tcPr>
          <w:p>
            <w:r/>
            <w:r>
              <w:rPr>
                <w:rFonts w:ascii="Times New Roman" w:hAnsi="Times New Roman"/>
                <w:sz w:val="22"/>
              </w:rPr>
              <w:t>Bị cô lập 100% bởi phân vùng Tenant riêng biệt.</w:t>
            </w:r>
          </w:p>
        </w:tc>
      </w:tr>
    </w:tbl>
    <w:p>
      <w:r>
        <w:br w:type="page"/>
      </w:r>
    </w:p>
    <w:p>
      <w:pPr>
        <w:pStyle w:val="Heading1"/>
      </w:pPr>
      <w:r>
        <w:rPr>
          <w:rFonts w:ascii="Times New Roman" w:hAnsi="Times New Roman"/>
          <w:color w:val="1B3A5C"/>
        </w:rPr>
        <w:t>5. BẢNG ĐẶC TẢ CÁC THÀNH PHẦN KỸ THUẬT CỐT LÕI (TECHNICAL STACK)</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shd w:fill="1B3A5C"/>
          </w:tcPr>
          <w:p>
            <w:pPr>
              <w:jc w:val="center"/>
            </w:pPr>
            <w:r/>
            <w:r>
              <w:rPr>
                <w:rFonts w:ascii="Times New Roman" w:hAnsi="Times New Roman"/>
                <w:b/>
                <w:color w:val="FFFFFF"/>
                <w:sz w:val="22"/>
              </w:rPr>
              <w:t>Thành phần</w:t>
            </w:r>
          </w:p>
        </w:tc>
        <w:tc>
          <w:tcPr>
            <w:tcW w:type="dxa" w:w="2551"/>
            <w:shd w:fill="1B3A5C"/>
          </w:tcPr>
          <w:p>
            <w:pPr>
              <w:jc w:val="center"/>
            </w:pPr>
            <w:r/>
            <w:r>
              <w:rPr>
                <w:rFonts w:ascii="Times New Roman" w:hAnsi="Times New Roman"/>
                <w:b/>
                <w:color w:val="FFFFFF"/>
                <w:sz w:val="22"/>
              </w:rPr>
              <w:t>Công nghệ / Nền tảng</w:t>
            </w:r>
          </w:p>
        </w:tc>
        <w:tc>
          <w:tcPr>
            <w:tcW w:type="dxa" w:w="1417"/>
            <w:shd w:fill="1B3A5C"/>
          </w:tcPr>
          <w:p>
            <w:pPr>
              <w:jc w:val="center"/>
            </w:pPr>
            <w:r/>
            <w:r>
              <w:rPr>
                <w:rFonts w:ascii="Times New Roman" w:hAnsi="Times New Roman"/>
                <w:b/>
                <w:color w:val="FFFFFF"/>
                <w:sz w:val="22"/>
              </w:rPr>
              <w:t>Vị trí đặt</w:t>
            </w:r>
          </w:p>
        </w:tc>
        <w:tc>
          <w:tcPr>
            <w:tcW w:type="dxa" w:w="3402"/>
            <w:shd w:fill="1B3A5C"/>
          </w:tcPr>
          <w:p>
            <w:pPr>
              <w:jc w:val="center"/>
            </w:pPr>
            <w:r/>
            <w:r>
              <w:rPr>
                <w:rFonts w:ascii="Times New Roman" w:hAnsi="Times New Roman"/>
                <w:b/>
                <w:color w:val="FFFFFF"/>
                <w:sz w:val="22"/>
              </w:rPr>
              <w:t>Chức năng chi tiết</w:t>
            </w:r>
          </w:p>
        </w:tc>
      </w:tr>
      <w:tr>
        <w:tc>
          <w:tcPr>
            <w:tcW w:type="dxa" w:w="1984"/>
          </w:tcPr>
          <w:p>
            <w:r/>
            <w:r>
              <w:rPr>
                <w:rFonts w:ascii="Times New Roman" w:hAnsi="Times New Roman"/>
                <w:sz w:val="22"/>
              </w:rPr>
              <w:t>Spoke Integration Agent</w:t>
            </w:r>
          </w:p>
        </w:tc>
        <w:tc>
          <w:tcPr>
            <w:tcW w:type="dxa" w:w="2551"/>
          </w:tcPr>
          <w:p>
            <w:r/>
            <w:r>
              <w:rPr>
                <w:rFonts w:ascii="Times New Roman" w:hAnsi="Times New Roman"/>
                <w:sz w:val="22"/>
              </w:rPr>
              <w:t>Docker Container / Light Service</w:t>
            </w:r>
          </w:p>
        </w:tc>
        <w:tc>
          <w:tcPr>
            <w:tcW w:type="dxa" w:w="1417"/>
          </w:tcPr>
          <w:p>
            <w:r/>
            <w:r>
              <w:rPr>
                <w:rFonts w:ascii="Times New Roman" w:hAnsi="Times New Roman"/>
                <w:sz w:val="22"/>
              </w:rPr>
              <w:t>On-prem QN</w:t>
            </w:r>
          </w:p>
        </w:tc>
        <w:tc>
          <w:tcPr>
            <w:tcW w:type="dxa" w:w="3402"/>
          </w:tcPr>
          <w:p>
            <w:r/>
            <w:r>
              <w:rPr>
                <w:rFonts w:ascii="Times New Roman" w:hAnsi="Times New Roman"/>
                <w:sz w:val="22"/>
              </w:rPr>
              <w:t>Tự động đọc dữ liệu từ FAST, MESx, VTI đẩy vào Landing Zone nội bộ.</w:t>
            </w:r>
          </w:p>
        </w:tc>
      </w:tr>
      <w:tr>
        <w:tc>
          <w:tcPr>
            <w:tcW w:type="dxa" w:w="1984"/>
            <w:shd w:fill="EFF6FF"/>
          </w:tcPr>
          <w:p>
            <w:r/>
            <w:r>
              <w:rPr>
                <w:rFonts w:ascii="Times New Roman" w:hAnsi="Times New Roman"/>
                <w:sz w:val="22"/>
              </w:rPr>
              <w:t>Landing Zone Staging</w:t>
            </w:r>
          </w:p>
        </w:tc>
        <w:tc>
          <w:tcPr>
            <w:tcW w:type="dxa" w:w="2551"/>
            <w:shd w:fill="EFF6FF"/>
          </w:tcPr>
          <w:p>
            <w:r/>
            <w:r>
              <w:rPr>
                <w:rFonts w:ascii="Times New Roman" w:hAnsi="Times New Roman"/>
                <w:sz w:val="22"/>
              </w:rPr>
              <w:t>Local Database / Folder bảo mật</w:t>
            </w:r>
          </w:p>
        </w:tc>
        <w:tc>
          <w:tcPr>
            <w:tcW w:type="dxa" w:w="1417"/>
            <w:shd w:fill="EFF6FF"/>
          </w:tcPr>
          <w:p>
            <w:r/>
            <w:r>
              <w:rPr>
                <w:rFonts w:ascii="Times New Roman" w:hAnsi="Times New Roman"/>
                <w:sz w:val="22"/>
              </w:rPr>
              <w:t>On-prem QN</w:t>
            </w:r>
          </w:p>
        </w:tc>
        <w:tc>
          <w:tcPr>
            <w:tcW w:type="dxa" w:w="3402"/>
            <w:shd w:fill="EFF6FF"/>
          </w:tcPr>
          <w:p>
            <w:r/>
            <w:r>
              <w:rPr>
                <w:rFonts w:ascii="Times New Roman" w:hAnsi="Times New Roman"/>
                <w:sz w:val="22"/>
              </w:rPr>
              <w:t>Vùng đệm tạm thời để kiểm tra chất lượng và duyệt dữ liệu.</w:t>
            </w:r>
          </w:p>
        </w:tc>
      </w:tr>
      <w:tr>
        <w:tc>
          <w:tcPr>
            <w:tcW w:type="dxa" w:w="1984"/>
          </w:tcPr>
          <w:p>
            <w:r/>
            <w:r>
              <w:rPr>
                <w:rFonts w:ascii="Times New Roman" w:hAnsi="Times New Roman"/>
                <w:sz w:val="22"/>
              </w:rPr>
              <w:t>Kênh truyền bảo mật</w:t>
            </w:r>
          </w:p>
        </w:tc>
        <w:tc>
          <w:tcPr>
            <w:tcW w:type="dxa" w:w="2551"/>
          </w:tcPr>
          <w:p>
            <w:r/>
            <w:r>
              <w:rPr>
                <w:rFonts w:ascii="Times New Roman" w:hAnsi="Times New Roman"/>
                <w:sz w:val="22"/>
              </w:rPr>
              <w:t>IPSec VPN Tunnel (AES-256)</w:t>
            </w:r>
          </w:p>
        </w:tc>
        <w:tc>
          <w:tcPr>
            <w:tcW w:type="dxa" w:w="1417"/>
          </w:tcPr>
          <w:p>
            <w:r/>
            <w:r>
              <w:rPr>
                <w:rFonts w:ascii="Times New Roman" w:hAnsi="Times New Roman"/>
                <w:sz w:val="22"/>
              </w:rPr>
              <w:t>DC QN ↔ DC TCT</w:t>
            </w:r>
          </w:p>
        </w:tc>
        <w:tc>
          <w:tcPr>
            <w:tcW w:type="dxa" w:w="3402"/>
          </w:tcPr>
          <w:p>
            <w:r/>
            <w:r>
              <w:rPr>
                <w:rFonts w:ascii="Times New Roman" w:hAnsi="Times New Roman"/>
                <w:sz w:val="22"/>
              </w:rPr>
              <w:t>Kênh truyền an toàn, không lộ IP ra Internet.</w:t>
            </w:r>
          </w:p>
        </w:tc>
      </w:tr>
      <w:tr>
        <w:tc>
          <w:tcPr>
            <w:tcW w:type="dxa" w:w="1984"/>
            <w:shd w:fill="EFF6FF"/>
          </w:tcPr>
          <w:p>
            <w:r/>
            <w:r>
              <w:rPr>
                <w:rFonts w:ascii="Times New Roman" w:hAnsi="Times New Roman"/>
                <w:sz w:val="22"/>
              </w:rPr>
              <w:t>Trục tích hợp (ESB)</w:t>
            </w:r>
          </w:p>
        </w:tc>
        <w:tc>
          <w:tcPr>
            <w:tcW w:type="dxa" w:w="2551"/>
            <w:shd w:fill="EFF6FF"/>
          </w:tcPr>
          <w:p>
            <w:r/>
            <w:r>
              <w:rPr>
                <w:rFonts w:ascii="Times New Roman" w:hAnsi="Times New Roman"/>
                <w:sz w:val="22"/>
              </w:rPr>
              <w:t>WSO2 Enterprise Integrator</w:t>
            </w:r>
          </w:p>
        </w:tc>
        <w:tc>
          <w:tcPr>
            <w:tcW w:type="dxa" w:w="1417"/>
            <w:shd w:fill="EFF6FF"/>
          </w:tcPr>
          <w:p>
            <w:r/>
            <w:r>
              <w:rPr>
                <w:rFonts w:ascii="Times New Roman" w:hAnsi="Times New Roman"/>
                <w:sz w:val="22"/>
              </w:rPr>
              <w:t>On-prem Hub TCT</w:t>
            </w:r>
          </w:p>
        </w:tc>
        <w:tc>
          <w:tcPr>
            <w:tcW w:type="dxa" w:w="3402"/>
            <w:shd w:fill="EFF6FF"/>
          </w:tcPr>
          <w:p>
            <w:r/>
            <w:r>
              <w:rPr>
                <w:rFonts w:ascii="Times New Roman" w:hAnsi="Times New Roman"/>
                <w:sz w:val="22"/>
              </w:rPr>
              <w:t>Tiếp nhận API, định tuyến dữ liệu, chuyển đổi định dạng.</w:t>
            </w:r>
          </w:p>
        </w:tc>
      </w:tr>
      <w:tr>
        <w:tc>
          <w:tcPr>
            <w:tcW w:type="dxa" w:w="1984"/>
          </w:tcPr>
          <w:p>
            <w:r/>
            <w:r>
              <w:rPr>
                <w:rFonts w:ascii="Times New Roman" w:hAnsi="Times New Roman"/>
                <w:sz w:val="22"/>
              </w:rPr>
              <w:t>Hồ chứa dữ liệu On-prem</w:t>
            </w:r>
          </w:p>
        </w:tc>
        <w:tc>
          <w:tcPr>
            <w:tcW w:type="dxa" w:w="2551"/>
          </w:tcPr>
          <w:p>
            <w:r/>
            <w:r>
              <w:rPr>
                <w:rFonts w:ascii="Times New Roman" w:hAnsi="Times New Roman"/>
                <w:sz w:val="22"/>
              </w:rPr>
              <w:t>MinIO Object Storage (S3 API)</w:t>
            </w:r>
          </w:p>
        </w:tc>
        <w:tc>
          <w:tcPr>
            <w:tcW w:type="dxa" w:w="1417"/>
          </w:tcPr>
          <w:p>
            <w:r/>
            <w:r>
              <w:rPr>
                <w:rFonts w:ascii="Times New Roman" w:hAnsi="Times New Roman"/>
                <w:sz w:val="22"/>
              </w:rPr>
              <w:t>On-prem Hub TCT</w:t>
            </w:r>
          </w:p>
        </w:tc>
        <w:tc>
          <w:tcPr>
            <w:tcW w:type="dxa" w:w="3402"/>
          </w:tcPr>
          <w:p>
            <w:r/>
            <w:r>
              <w:rPr>
                <w:rFonts w:ascii="Times New Roman" w:hAnsi="Times New Roman"/>
                <w:sz w:val="22"/>
              </w:rPr>
              <w:t>Lưu trữ dữ liệu thô (Bronze) và chi tiết an toàn.</w:t>
            </w:r>
          </w:p>
        </w:tc>
      </w:tr>
      <w:tr>
        <w:tc>
          <w:tcPr>
            <w:tcW w:type="dxa" w:w="1984"/>
            <w:shd w:fill="EFF6FF"/>
          </w:tcPr>
          <w:p>
            <w:r/>
            <w:r>
              <w:rPr>
                <w:rFonts w:ascii="Times New Roman" w:hAnsi="Times New Roman"/>
                <w:sz w:val="22"/>
              </w:rPr>
              <w:t>Hệ thống Dữ liệu chủ (MDM)</w:t>
            </w:r>
          </w:p>
        </w:tc>
        <w:tc>
          <w:tcPr>
            <w:tcW w:type="dxa" w:w="2551"/>
            <w:shd w:fill="EFF6FF"/>
          </w:tcPr>
          <w:p>
            <w:r/>
            <w:r>
              <w:rPr>
                <w:rFonts w:ascii="Times New Roman" w:hAnsi="Times New Roman"/>
                <w:sz w:val="22"/>
              </w:rPr>
              <w:t>Master Data Management Hub</w:t>
            </w:r>
          </w:p>
        </w:tc>
        <w:tc>
          <w:tcPr>
            <w:tcW w:type="dxa" w:w="1417"/>
            <w:shd w:fill="EFF6FF"/>
          </w:tcPr>
          <w:p>
            <w:r/>
            <w:r>
              <w:rPr>
                <w:rFonts w:ascii="Times New Roman" w:hAnsi="Times New Roman"/>
                <w:sz w:val="22"/>
              </w:rPr>
              <w:t>On-prem Hub TCT</w:t>
            </w:r>
          </w:p>
        </w:tc>
        <w:tc>
          <w:tcPr>
            <w:tcW w:type="dxa" w:w="3402"/>
            <w:shd w:fill="EFF6FF"/>
          </w:tcPr>
          <w:p>
            <w:r/>
            <w:r>
              <w:rPr>
                <w:rFonts w:ascii="Times New Roman" w:hAnsi="Times New Roman"/>
                <w:sz w:val="22"/>
              </w:rPr>
              <w:t>Chuẩn hóa danh mục theo bản ghi chuẩn TCT.</w:t>
            </w:r>
          </w:p>
        </w:tc>
      </w:tr>
      <w:tr>
        <w:tc>
          <w:tcPr>
            <w:tcW w:type="dxa" w:w="1984"/>
          </w:tcPr>
          <w:p>
            <w:r/>
            <w:r>
              <w:rPr>
                <w:rFonts w:ascii="Times New Roman" w:hAnsi="Times New Roman"/>
                <w:sz w:val="22"/>
              </w:rPr>
              <w:t>Giám sát An ninh</w:t>
            </w:r>
          </w:p>
        </w:tc>
        <w:tc>
          <w:tcPr>
            <w:tcW w:type="dxa" w:w="2551"/>
          </w:tcPr>
          <w:p>
            <w:r/>
            <w:r>
              <w:rPr>
                <w:rFonts w:ascii="Times New Roman" w:hAnsi="Times New Roman"/>
                <w:sz w:val="22"/>
              </w:rPr>
              <w:t>Centralized SIEM (Wazuh/Splunk)</w:t>
            </w:r>
          </w:p>
        </w:tc>
        <w:tc>
          <w:tcPr>
            <w:tcW w:type="dxa" w:w="1417"/>
          </w:tcPr>
          <w:p>
            <w:r/>
            <w:r>
              <w:rPr>
                <w:rFonts w:ascii="Times New Roman" w:hAnsi="Times New Roman"/>
                <w:sz w:val="22"/>
              </w:rPr>
              <w:t>On-prem Hub TCT</w:t>
            </w:r>
          </w:p>
        </w:tc>
        <w:tc>
          <w:tcPr>
            <w:tcW w:type="dxa" w:w="3402"/>
          </w:tcPr>
          <w:p>
            <w:r/>
            <w:r>
              <w:rPr>
                <w:rFonts w:ascii="Times New Roman" w:hAnsi="Times New Roman"/>
                <w:sz w:val="22"/>
              </w:rPr>
              <w:t>Giám sát 24/7, ghi nhận log để chống rò rỉ dữ liệu.</w:t>
            </w:r>
          </w:p>
        </w:tc>
      </w:tr>
      <w:tr>
        <w:tc>
          <w:tcPr>
            <w:tcW w:type="dxa" w:w="1984"/>
            <w:shd w:fill="EFF6FF"/>
          </w:tcPr>
          <w:p>
            <w:r/>
            <w:r>
              <w:rPr>
                <w:rFonts w:ascii="Times New Roman" w:hAnsi="Times New Roman"/>
                <w:sz w:val="22"/>
              </w:rPr>
              <w:t>Phân vùng Tenant L3</w:t>
            </w:r>
          </w:p>
        </w:tc>
        <w:tc>
          <w:tcPr>
            <w:tcW w:type="dxa" w:w="2551"/>
            <w:shd w:fill="EFF6FF"/>
          </w:tcPr>
          <w:p>
            <w:r/>
            <w:r>
              <w:rPr>
                <w:rFonts w:ascii="Times New Roman" w:hAnsi="Times New Roman"/>
                <w:sz w:val="22"/>
              </w:rPr>
              <w:t>Microsoft Fabric Workspace</w:t>
            </w:r>
          </w:p>
        </w:tc>
        <w:tc>
          <w:tcPr>
            <w:tcW w:type="dxa" w:w="1417"/>
            <w:shd w:fill="EFF6FF"/>
          </w:tcPr>
          <w:p>
            <w:r/>
            <w:r>
              <w:rPr>
                <w:rFonts w:ascii="Times New Roman" w:hAnsi="Times New Roman"/>
                <w:sz w:val="22"/>
              </w:rPr>
              <w:t>Microsoft Cloud</w:t>
            </w:r>
          </w:p>
        </w:tc>
        <w:tc>
          <w:tcPr>
            <w:tcW w:type="dxa" w:w="3402"/>
            <w:shd w:fill="EFF6FF"/>
          </w:tcPr>
          <w:p>
            <w:r/>
            <w:r>
              <w:rPr>
                <w:rFonts w:ascii="Times New Roman" w:hAnsi="Times New Roman"/>
                <w:sz w:val="22"/>
              </w:rPr>
              <w:t>Không gian đám mây riêng của Quảng Ngãi.</w:t>
            </w:r>
          </w:p>
        </w:tc>
      </w:tr>
      <w:tr>
        <w:tc>
          <w:tcPr>
            <w:tcW w:type="dxa" w:w="1984"/>
          </w:tcPr>
          <w:p>
            <w:r/>
            <w:r>
              <w:rPr>
                <w:rFonts w:ascii="Times New Roman" w:hAnsi="Times New Roman"/>
                <w:sz w:val="22"/>
              </w:rPr>
              <w:t>Hồ chứa đám mây</w:t>
            </w:r>
          </w:p>
        </w:tc>
        <w:tc>
          <w:tcPr>
            <w:tcW w:type="dxa" w:w="2551"/>
          </w:tcPr>
          <w:p>
            <w:r/>
            <w:r>
              <w:rPr>
                <w:rFonts w:ascii="Times New Roman" w:hAnsi="Times New Roman"/>
                <w:sz w:val="22"/>
              </w:rPr>
              <w:t>OneLake Storage (Delta Parquet)</w:t>
            </w:r>
          </w:p>
        </w:tc>
        <w:tc>
          <w:tcPr>
            <w:tcW w:type="dxa" w:w="1417"/>
          </w:tcPr>
          <w:p>
            <w:r/>
            <w:r>
              <w:rPr>
                <w:rFonts w:ascii="Times New Roman" w:hAnsi="Times New Roman"/>
                <w:sz w:val="22"/>
              </w:rPr>
              <w:t>Microsoft Cloud</w:t>
            </w:r>
          </w:p>
        </w:tc>
        <w:tc>
          <w:tcPr>
            <w:tcW w:type="dxa" w:w="3402"/>
          </w:tcPr>
          <w:p>
            <w:r/>
            <w:r>
              <w:rPr>
                <w:rFonts w:ascii="Times New Roman" w:hAnsi="Times New Roman"/>
                <w:sz w:val="22"/>
              </w:rPr>
              <w:t>Chứa dữ liệu đã tinh chế (Gold Zone).</w:t>
            </w:r>
          </w:p>
        </w:tc>
      </w:tr>
      <w:tr>
        <w:tc>
          <w:tcPr>
            <w:tcW w:type="dxa" w:w="1984"/>
            <w:shd w:fill="EFF6FF"/>
          </w:tcPr>
          <w:p>
            <w:r/>
            <w:r>
              <w:rPr>
                <w:rFonts w:ascii="Times New Roman" w:hAnsi="Times New Roman"/>
                <w:sz w:val="22"/>
              </w:rPr>
              <w:t>Quản trị Danh mục Cloud</w:t>
            </w:r>
          </w:p>
        </w:tc>
        <w:tc>
          <w:tcPr>
            <w:tcW w:type="dxa" w:w="2551"/>
            <w:shd w:fill="EFF6FF"/>
          </w:tcPr>
          <w:p>
            <w:r/>
            <w:r>
              <w:rPr>
                <w:rFonts w:ascii="Times New Roman" w:hAnsi="Times New Roman"/>
                <w:sz w:val="22"/>
              </w:rPr>
              <w:t>Microsoft Purview</w:t>
            </w:r>
          </w:p>
        </w:tc>
        <w:tc>
          <w:tcPr>
            <w:tcW w:type="dxa" w:w="1417"/>
            <w:shd w:fill="EFF6FF"/>
          </w:tcPr>
          <w:p>
            <w:r/>
            <w:r>
              <w:rPr>
                <w:rFonts w:ascii="Times New Roman" w:hAnsi="Times New Roman"/>
                <w:sz w:val="22"/>
              </w:rPr>
              <w:t>Microsoft Cloud</w:t>
            </w:r>
          </w:p>
        </w:tc>
        <w:tc>
          <w:tcPr>
            <w:tcW w:type="dxa" w:w="3402"/>
            <w:shd w:fill="EFF6FF"/>
          </w:tcPr>
          <w:p>
            <w:r/>
            <w:r>
              <w:rPr>
                <w:rFonts w:ascii="Times New Roman" w:hAnsi="Times New Roman"/>
                <w:sz w:val="22"/>
              </w:rPr>
              <w:t>Quản lý vòng đời, Metadata và truy vết nguồn gốc.</w:t>
            </w:r>
          </w:p>
        </w:tc>
      </w:tr>
      <w:tr>
        <w:tc>
          <w:tcPr>
            <w:tcW w:type="dxa" w:w="1984"/>
          </w:tcPr>
          <w:p>
            <w:r/>
            <w:r>
              <w:rPr>
                <w:rFonts w:ascii="Times New Roman" w:hAnsi="Times New Roman"/>
                <w:sz w:val="22"/>
              </w:rPr>
              <w:t>Báo cáo trực quan (BI)</w:t>
            </w:r>
          </w:p>
        </w:tc>
        <w:tc>
          <w:tcPr>
            <w:tcW w:type="dxa" w:w="2551"/>
          </w:tcPr>
          <w:p>
            <w:r/>
            <w:r>
              <w:rPr>
                <w:rFonts w:ascii="Times New Roman" w:hAnsi="Times New Roman"/>
                <w:sz w:val="22"/>
              </w:rPr>
              <w:t>Power BI Service &amp; Mobile App</w:t>
            </w:r>
          </w:p>
        </w:tc>
        <w:tc>
          <w:tcPr>
            <w:tcW w:type="dxa" w:w="1417"/>
          </w:tcPr>
          <w:p>
            <w:r/>
            <w:r>
              <w:rPr>
                <w:rFonts w:ascii="Times New Roman" w:hAnsi="Times New Roman"/>
                <w:sz w:val="22"/>
              </w:rPr>
              <w:t>Web &amp; Điện thoại</w:t>
            </w:r>
          </w:p>
        </w:tc>
        <w:tc>
          <w:tcPr>
            <w:tcW w:type="dxa" w:w="3402"/>
          </w:tcPr>
          <w:p>
            <w:r/>
            <w:r>
              <w:rPr>
                <w:rFonts w:ascii="Times New Roman" w:hAnsi="Times New Roman"/>
                <w:sz w:val="22"/>
              </w:rPr>
              <w:t>Giao diện Dashboard cho Ban Giám đốc và quản lý.</w:t>
            </w:r>
          </w:p>
        </w:tc>
      </w:tr>
    </w:tbl>
    <w:p>
      <w:pPr>
        <w:pStyle w:val="Heading1"/>
      </w:pPr>
      <w:r>
        <w:rPr>
          <w:rFonts w:ascii="Times New Roman" w:hAnsi="Times New Roman"/>
          <w:color w:val="1B3A5C"/>
        </w:rPr>
        <w:t>6. ÁNH XẠ PHẦN MỀM NỘI BỘ QUẢNG NGÃI VÀO CHUẨN PPDM FRAMEWORK (DUAL-CODE)</w:t>
      </w:r>
    </w:p>
    <w:p>
      <w:pPr>
        <w:spacing w:after="120"/>
      </w:pPr>
      <w:r>
        <w:rPr>
          <w:rFonts w:ascii="Times New Roman" w:hAnsi="Times New Roman"/>
          <w:b w:val="0"/>
          <w:i w:val="0"/>
          <w:sz w:val="26"/>
        </w:rPr>
        <w:t>Các phần mềm nội bộ QN được ánh xạ vào mô hình PPDM như sau:</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84"/>
            <w:shd w:fill="1B3A5C"/>
          </w:tcPr>
          <w:p>
            <w:pPr>
              <w:jc w:val="center"/>
            </w:pPr>
            <w:r/>
            <w:r>
              <w:rPr>
                <w:rFonts w:ascii="Times New Roman" w:hAnsi="Times New Roman"/>
                <w:b/>
                <w:color w:val="FFFFFF"/>
                <w:sz w:val="22"/>
              </w:rPr>
              <w:t>Phần mềm QN</w:t>
            </w:r>
          </w:p>
        </w:tc>
        <w:tc>
          <w:tcPr>
            <w:tcW w:type="dxa" w:w="1417"/>
            <w:shd w:fill="1B3A5C"/>
          </w:tcPr>
          <w:p>
            <w:pPr>
              <w:jc w:val="center"/>
            </w:pPr>
            <w:r/>
            <w:r>
              <w:rPr>
                <w:rFonts w:ascii="Times New Roman" w:hAnsi="Times New Roman"/>
                <w:b/>
                <w:color w:val="FFFFFF"/>
                <w:sz w:val="22"/>
              </w:rPr>
              <w:t>Mã PPDM (Primary)</w:t>
            </w:r>
          </w:p>
        </w:tc>
        <w:tc>
          <w:tcPr>
            <w:tcW w:type="dxa" w:w="1701"/>
            <w:shd w:fill="1B3A5C"/>
          </w:tcPr>
          <w:p>
            <w:pPr>
              <w:jc w:val="center"/>
            </w:pPr>
            <w:r/>
            <w:r>
              <w:rPr>
                <w:rFonts w:ascii="Times New Roman" w:hAnsi="Times New Roman"/>
                <w:b/>
                <w:color w:val="FFFFFF"/>
                <w:sz w:val="22"/>
              </w:rPr>
              <w:t>Mã PPDM (Support)</w:t>
            </w:r>
          </w:p>
        </w:tc>
        <w:tc>
          <w:tcPr>
            <w:tcW w:type="dxa" w:w="1417"/>
            <w:shd w:fill="1B3A5C"/>
          </w:tcPr>
          <w:p>
            <w:pPr>
              <w:jc w:val="center"/>
            </w:pPr>
            <w:r/>
            <w:r>
              <w:rPr>
                <w:rFonts w:ascii="Times New Roman" w:hAnsi="Times New Roman"/>
                <w:b/>
                <w:color w:val="FFFFFF"/>
                <w:sz w:val="22"/>
              </w:rPr>
              <w:t>Deliverable</w:t>
            </w:r>
          </w:p>
        </w:tc>
        <w:tc>
          <w:tcPr>
            <w:tcW w:type="dxa" w:w="2835"/>
            <w:shd w:fill="1B3A5C"/>
          </w:tcPr>
          <w:p>
            <w:pPr>
              <w:jc w:val="center"/>
            </w:pPr>
            <w:r/>
            <w:r>
              <w:rPr>
                <w:rFonts w:ascii="Times New Roman" w:hAnsi="Times New Roman"/>
                <w:b/>
                <w:color w:val="FFFFFF"/>
                <w:sz w:val="22"/>
              </w:rPr>
              <w:t>Ghi chú ánh xạ</w:t>
            </w:r>
          </w:p>
        </w:tc>
      </w:tr>
      <w:tr>
        <w:tc>
          <w:tcPr>
            <w:tcW w:type="dxa" w:w="1984"/>
          </w:tcPr>
          <w:p>
            <w:r/>
            <w:r>
              <w:rPr>
                <w:rFonts w:ascii="Times New Roman" w:hAnsi="Times New Roman"/>
                <w:sz w:val="22"/>
              </w:rPr>
              <w:t>FAST Accounting</w:t>
            </w:r>
          </w:p>
        </w:tc>
        <w:tc>
          <w:tcPr>
            <w:tcW w:type="dxa" w:w="1417"/>
          </w:tcPr>
          <w:p>
            <w:r/>
            <w:r>
              <w:rPr>
                <w:rFonts w:ascii="Times New Roman" w:hAnsi="Times New Roman"/>
                <w:sz w:val="22"/>
              </w:rPr>
              <w:t>—</w:t>
            </w:r>
          </w:p>
        </w:tc>
        <w:tc>
          <w:tcPr>
            <w:tcW w:type="dxa" w:w="1701"/>
          </w:tcPr>
          <w:p>
            <w:r/>
            <w:r>
              <w:rPr>
                <w:rFonts w:ascii="Times New Roman" w:hAnsi="Times New Roman"/>
                <w:sz w:val="22"/>
              </w:rPr>
              <w:t>S1 (Corporate Governance / Finance)</w:t>
            </w:r>
          </w:p>
        </w:tc>
        <w:tc>
          <w:tcPr>
            <w:tcW w:type="dxa" w:w="1417"/>
          </w:tcPr>
          <w:p>
            <w:r/>
            <w:r>
              <w:rPr>
                <w:rFonts w:ascii="Times New Roman" w:hAnsi="Times New Roman"/>
                <w:sz w:val="22"/>
              </w:rPr>
              <w:t>D1 (Contract Package)</w:t>
            </w:r>
          </w:p>
        </w:tc>
        <w:tc>
          <w:tcPr>
            <w:tcW w:type="dxa" w:w="2835"/>
          </w:tcPr>
          <w:p>
            <w:r/>
            <w:r>
              <w:rPr>
                <w:rFonts w:ascii="Times New Roman" w:hAnsi="Times New Roman"/>
                <w:sz w:val="22"/>
              </w:rPr>
              <w:t>Dữ liệu Doanh thu – Chi phí – Dòng tiền, phục vụ báo cáo hợp nhất theo VSIC 2018.</w:t>
            </w:r>
          </w:p>
        </w:tc>
      </w:tr>
      <w:tr>
        <w:tc>
          <w:tcPr>
            <w:tcW w:type="dxa" w:w="1984"/>
            <w:shd w:fill="EFF6FF"/>
          </w:tcPr>
          <w:p>
            <w:r/>
            <w:r>
              <w:rPr>
                <w:rFonts w:ascii="Times New Roman" w:hAnsi="Times New Roman"/>
                <w:sz w:val="22"/>
              </w:rPr>
              <w:t>MESx – PMSx – FBO</w:t>
            </w:r>
          </w:p>
        </w:tc>
        <w:tc>
          <w:tcPr>
            <w:tcW w:type="dxa" w:w="1417"/>
            <w:shd w:fill="EFF6FF"/>
          </w:tcPr>
          <w:p>
            <w:r/>
            <w:r>
              <w:rPr>
                <w:rFonts w:ascii="Times New Roman" w:hAnsi="Times New Roman"/>
                <w:sz w:val="22"/>
              </w:rPr>
              <w:t>P5 (Fabrication)</w:t>
            </w:r>
          </w:p>
        </w:tc>
        <w:tc>
          <w:tcPr>
            <w:tcW w:type="dxa" w:w="1701"/>
            <w:shd w:fill="EFF6FF"/>
          </w:tcPr>
          <w:p>
            <w:r/>
            <w:r>
              <w:rPr>
                <w:rFonts w:ascii="Times New Roman" w:hAnsi="Times New Roman"/>
                <w:sz w:val="22"/>
              </w:rPr>
              <w:t>S4 (Asset Management)</w:t>
            </w:r>
          </w:p>
        </w:tc>
        <w:tc>
          <w:tcPr>
            <w:tcW w:type="dxa" w:w="1417"/>
            <w:shd w:fill="EFF6FF"/>
          </w:tcPr>
          <w:p>
            <w:r/>
            <w:r>
              <w:rPr>
                <w:rFonts w:ascii="Times New Roman" w:hAnsi="Times New Roman"/>
                <w:sz w:val="22"/>
              </w:rPr>
              <w:t>D6 (FAT/ITR Package)</w:t>
            </w:r>
          </w:p>
        </w:tc>
        <w:tc>
          <w:tcPr>
            <w:tcW w:type="dxa" w:w="2835"/>
            <w:shd w:fill="EFF6FF"/>
          </w:tcPr>
          <w:p>
            <w:r/>
            <w:r>
              <w:rPr>
                <w:rFonts w:ascii="Times New Roman" w:hAnsi="Times New Roman"/>
                <w:sz w:val="22"/>
              </w:rPr>
              <w:t>Tiến độ xưởng cơ khí, vật tư. Deliverable: hồ sơ nghiệm thu chế tạo (FAT).</w:t>
            </w:r>
          </w:p>
        </w:tc>
      </w:tr>
      <w:tr>
        <w:tc>
          <w:tcPr>
            <w:tcW w:type="dxa" w:w="1984"/>
          </w:tcPr>
          <w:p>
            <w:r/>
            <w:r>
              <w:rPr>
                <w:rFonts w:ascii="Times New Roman" w:hAnsi="Times New Roman"/>
                <w:sz w:val="22"/>
              </w:rPr>
              <w:t>VTI – IRTECH (Cảng)</w:t>
            </w:r>
          </w:p>
        </w:tc>
        <w:tc>
          <w:tcPr>
            <w:tcW w:type="dxa" w:w="1417"/>
          </w:tcPr>
          <w:p>
            <w:r/>
            <w:r>
              <w:rPr>
                <w:rFonts w:ascii="Times New Roman" w:hAnsi="Times New Roman"/>
                <w:sz w:val="22"/>
              </w:rPr>
              <w:t>P6 (T&amp;I / Marine Services)</w:t>
            </w:r>
          </w:p>
        </w:tc>
        <w:tc>
          <w:tcPr>
            <w:tcW w:type="dxa" w:w="1701"/>
          </w:tcPr>
          <w:p>
            <w:r/>
            <w:r>
              <w:rPr>
                <w:rFonts w:ascii="Times New Roman" w:hAnsi="Times New Roman"/>
                <w:sz w:val="22"/>
              </w:rPr>
              <w:t>S4 (Asset Management)</w:t>
            </w:r>
          </w:p>
        </w:tc>
        <w:tc>
          <w:tcPr>
            <w:tcW w:type="dxa" w:w="1417"/>
          </w:tcPr>
          <w:p>
            <w:r/>
            <w:r>
              <w:rPr>
                <w:rFonts w:ascii="Times New Roman" w:hAnsi="Times New Roman"/>
                <w:sz w:val="22"/>
              </w:rPr>
              <w:t>D7 (Handover + Marine)</w:t>
            </w:r>
          </w:p>
        </w:tc>
        <w:tc>
          <w:tcPr>
            <w:tcW w:type="dxa" w:w="2835"/>
          </w:tcPr>
          <w:p>
            <w:r/>
            <w:r>
              <w:rPr>
                <w:rFonts w:ascii="Times New Roman" w:hAnsi="Times New Roman"/>
                <w:sz w:val="22"/>
              </w:rPr>
              <w:t>Sản lượng bãi cảng, nhật trình xe cẩu. Mảng dịch vụ cảng &amp; vận tải biển.</w:t>
            </w:r>
          </w:p>
        </w:tc>
      </w:tr>
      <w:tr>
        <w:tc>
          <w:tcPr>
            <w:tcW w:type="dxa" w:w="1984"/>
            <w:shd w:fill="EFF6FF"/>
          </w:tcPr>
          <w:p>
            <w:r/>
            <w:r>
              <w:rPr>
                <w:rFonts w:ascii="Times New Roman" w:hAnsi="Times New Roman"/>
                <w:sz w:val="22"/>
              </w:rPr>
              <w:t>HSEQ</w:t>
            </w:r>
          </w:p>
        </w:tc>
        <w:tc>
          <w:tcPr>
            <w:tcW w:type="dxa" w:w="1417"/>
            <w:shd w:fill="EFF6FF"/>
          </w:tcPr>
          <w:p>
            <w:r/>
            <w:r>
              <w:rPr>
                <w:rFonts w:ascii="Times New Roman" w:hAnsi="Times New Roman"/>
                <w:sz w:val="22"/>
              </w:rPr>
              <w:t>—</w:t>
            </w:r>
          </w:p>
        </w:tc>
        <w:tc>
          <w:tcPr>
            <w:tcW w:type="dxa" w:w="1701"/>
            <w:shd w:fill="EFF6FF"/>
          </w:tcPr>
          <w:p>
            <w:r/>
            <w:r>
              <w:rPr>
                <w:rFonts w:ascii="Times New Roman" w:hAnsi="Times New Roman"/>
                <w:sz w:val="22"/>
              </w:rPr>
              <w:t>S3 (HSE)</w:t>
            </w:r>
          </w:p>
        </w:tc>
        <w:tc>
          <w:tcPr>
            <w:tcW w:type="dxa" w:w="1417"/>
            <w:shd w:fill="EFF6FF"/>
          </w:tcPr>
          <w:p>
            <w:r/>
            <w:r>
              <w:rPr>
                <w:rFonts w:ascii="Times New Roman" w:hAnsi="Times New Roman"/>
                <w:sz w:val="22"/>
              </w:rPr>
              <w:t>Xuyên suốt P1→P7</w:t>
            </w:r>
          </w:p>
        </w:tc>
        <w:tc>
          <w:tcPr>
            <w:tcW w:type="dxa" w:w="2835"/>
            <w:shd w:fill="EFF6FF"/>
          </w:tcPr>
          <w:p>
            <w:r/>
            <w:r>
              <w:rPr>
                <w:rFonts w:ascii="Times New Roman" w:hAnsi="Times New Roman"/>
                <w:sz w:val="22"/>
              </w:rPr>
              <w:t>An toàn lao động, sự cố kỹ thuật. Vai trò VERIFY / APPROVE.</w:t>
            </w:r>
          </w:p>
        </w:tc>
      </w:tr>
      <w:tr>
        <w:tc>
          <w:tcPr>
            <w:tcW w:type="dxa" w:w="1984"/>
          </w:tcPr>
          <w:p>
            <w:r/>
            <w:r>
              <w:rPr>
                <w:rFonts w:ascii="Times New Roman" w:hAnsi="Times New Roman"/>
                <w:sz w:val="22"/>
              </w:rPr>
              <w:t>Module Mua sắm</w:t>
            </w:r>
          </w:p>
        </w:tc>
        <w:tc>
          <w:tcPr>
            <w:tcW w:type="dxa" w:w="1417"/>
          </w:tcPr>
          <w:p>
            <w:r/>
            <w:r>
              <w:rPr>
                <w:rFonts w:ascii="Times New Roman" w:hAnsi="Times New Roman"/>
                <w:sz w:val="22"/>
              </w:rPr>
              <w:t>P4 (Procurement)</w:t>
            </w:r>
          </w:p>
        </w:tc>
        <w:tc>
          <w:tcPr>
            <w:tcW w:type="dxa" w:w="1701"/>
          </w:tcPr>
          <w:p>
            <w:r/>
            <w:r>
              <w:rPr>
                <w:rFonts w:ascii="Times New Roman" w:hAnsi="Times New Roman"/>
                <w:sz w:val="22"/>
              </w:rPr>
              <w:t>S1 (Corporate Governance)</w:t>
            </w:r>
          </w:p>
        </w:tc>
        <w:tc>
          <w:tcPr>
            <w:tcW w:type="dxa" w:w="1417"/>
          </w:tcPr>
          <w:p>
            <w:r/>
            <w:r>
              <w:rPr>
                <w:rFonts w:ascii="Times New Roman" w:hAnsi="Times New Roman"/>
                <w:sz w:val="22"/>
              </w:rPr>
              <w:t>D4, D5</w:t>
            </w:r>
          </w:p>
        </w:tc>
        <w:tc>
          <w:tcPr>
            <w:tcW w:type="dxa" w:w="2835"/>
          </w:tcPr>
          <w:p>
            <w:r/>
            <w:r>
              <w:rPr>
                <w:rFonts w:ascii="Times New Roman" w:hAnsi="Times New Roman"/>
                <w:sz w:val="22"/>
              </w:rPr>
              <w:t>Đề xuất mua hàng, quản lý thầu phụ, đối soát mã MDM.</w:t>
            </w:r>
          </w:p>
        </w:tc>
      </w:tr>
      <w:tr>
        <w:tc>
          <w:tcPr>
            <w:tcW w:type="dxa" w:w="1984"/>
            <w:shd w:fill="EFF6FF"/>
          </w:tcPr>
          <w:p>
            <w:r/>
            <w:r>
              <w:rPr>
                <w:rFonts w:ascii="Times New Roman" w:hAnsi="Times New Roman"/>
                <w:sz w:val="22"/>
              </w:rPr>
              <w:t>File Excel / PDF</w:t>
            </w:r>
          </w:p>
        </w:tc>
        <w:tc>
          <w:tcPr>
            <w:tcW w:type="dxa" w:w="1417"/>
            <w:shd w:fill="EFF6FF"/>
          </w:tcPr>
          <w:p>
            <w:r/>
            <w:r>
              <w:rPr>
                <w:rFonts w:ascii="Times New Roman" w:hAnsi="Times New Roman"/>
                <w:sz w:val="22"/>
              </w:rPr>
              <w:t>Tùy nội dung</w:t>
            </w:r>
          </w:p>
        </w:tc>
        <w:tc>
          <w:tcPr>
            <w:tcW w:type="dxa" w:w="1701"/>
            <w:shd w:fill="EFF6FF"/>
          </w:tcPr>
          <w:p>
            <w:r/>
            <w:r>
              <w:rPr>
                <w:rFonts w:ascii="Times New Roman" w:hAnsi="Times New Roman"/>
                <w:sz w:val="22"/>
              </w:rPr>
              <w:t>Tùy nội dung</w:t>
            </w:r>
          </w:p>
        </w:tc>
        <w:tc>
          <w:tcPr>
            <w:tcW w:type="dxa" w:w="1417"/>
            <w:shd w:fill="EFF6FF"/>
          </w:tcPr>
          <w:p>
            <w:r/>
            <w:r>
              <w:rPr>
                <w:rFonts w:ascii="Times New Roman" w:hAnsi="Times New Roman"/>
                <w:sz w:val="22"/>
              </w:rPr>
              <w:t>—</w:t>
            </w:r>
          </w:p>
        </w:tc>
        <w:tc>
          <w:tcPr>
            <w:tcW w:type="dxa" w:w="2835"/>
            <w:shd w:fill="EFF6FF"/>
          </w:tcPr>
          <w:p>
            <w:r/>
            <w:r>
              <w:rPr>
                <w:rFonts w:ascii="Times New Roman" w:hAnsi="Times New Roman"/>
                <w:sz w:val="22"/>
              </w:rPr>
              <w:t>Số hóa và gắn nhãn Discipline Code trước khi đẩy vào Landing Zone.</w:t>
            </w:r>
          </w:p>
        </w:tc>
      </w:tr>
    </w:tbl>
    <w:p>
      <w:pPr>
        <w:spacing w:after="120"/>
      </w:pPr>
      <w:r>
        <w:rPr>
          <w:rFonts w:ascii="Times New Roman" w:hAnsi="Times New Roman"/>
          <w:b/>
          <w:i w:val="0"/>
          <w:sz w:val="26"/>
        </w:rPr>
        <w:t>Nguyên tắc bất biến khi ánh xạ:</w:t>
      </w:r>
    </w:p>
    <w:p>
      <w:pPr>
        <w:pStyle w:val="ListBullet"/>
        <w:ind w:left="567"/>
      </w:pPr>
      <w:r>
        <w:rPr>
          <w:rFonts w:ascii="Times New Roman" w:hAnsi="Times New Roman"/>
          <w:sz w:val="26"/>
        </w:rPr>
        <w:t>Không FK trực tiếp giữa Discipline → Discipline (thông qua Deliverable).</w:t>
      </w:r>
    </w:p>
    <w:p>
      <w:pPr>
        <w:pStyle w:val="ListBullet"/>
        <w:ind w:left="567"/>
      </w:pPr>
      <w:r>
        <w:rPr>
          <w:rFonts w:ascii="Times New Roman" w:hAnsi="Times New Roman"/>
          <w:sz w:val="26"/>
        </w:rPr>
        <w:t>Company Code là display key (không dùng surrogate key số).</w:t>
      </w:r>
    </w:p>
    <w:p>
      <w:pPr>
        <w:pStyle w:val="ListBullet"/>
        <w:ind w:left="567"/>
      </w:pPr>
      <w:r>
        <w:rPr>
          <w:rFonts w:ascii="Times New Roman" w:hAnsi="Times New Roman"/>
          <w:sz w:val="26"/>
        </w:rPr>
        <w:t>Mapping tại cấp thấp nhất (Sub-Discipline).</w:t>
      </w:r>
    </w:p>
    <w:p>
      <w:pPr>
        <w:pStyle w:val="ListBullet"/>
        <w:ind w:left="567"/>
      </w:pPr>
      <w:r>
        <w:rPr>
          <w:rFonts w:ascii="Times New Roman" w:hAnsi="Times New Roman"/>
          <w:sz w:val="26"/>
        </w:rPr>
        <w:t>Không sửa code, chỉ retire (thêm expiry_date).</w:t>
      </w:r>
    </w:p>
    <w:p>
      <w:pPr>
        <w:pStyle w:val="ListBullet"/>
        <w:ind w:left="567"/>
      </w:pPr>
      <w:r>
        <w:rPr>
          <w:rFonts w:ascii="Times New Roman" w:hAnsi="Times New Roman"/>
          <w:sz w:val="26"/>
        </w:rPr>
        <w:t>Mở rộng bằng dữ liệu, không bằng schema.</w:t>
      </w:r>
    </w:p>
    <w:p>
      <w:r>
        <w:br w:type="page"/>
      </w:r>
    </w:p>
    <w:p>
      <w:pPr>
        <w:pStyle w:val="Heading1"/>
      </w:pPr>
      <w:r>
        <w:rPr>
          <w:rFonts w:ascii="Times New Roman" w:hAnsi="Times New Roman"/>
          <w:color w:val="1B3A5C"/>
        </w:rPr>
        <w:t>7. TIÊU CHUẨN KỸ THUẬT TÍCH HỢP BẮT BUỘC (13 ĐIỀU KHOẢN TỪ PHỤ LỤC TCT)</w:t>
      </w:r>
    </w:p>
    <w:p>
      <w:pPr>
        <w:spacing w:after="120"/>
      </w:pPr>
      <w:r>
        <w:rPr>
          <w:rFonts w:ascii="Times New Roman" w:hAnsi="Times New Roman"/>
          <w:b w:val="0"/>
          <w:i w:val="0"/>
          <w:sz w:val="26"/>
        </w:rPr>
        <w:t>Bộ tiêu chuẩn bắt buộc mà mọi nhà cung cấp phần mềm phải tuân thủ khi tích hợp với Data Platform của TCT:</w:t>
      </w:r>
    </w:p>
    <w:tbl>
      <w:tblPr>
        <w:tblStyle w:val="TableGrid"/>
        <w:tblW w:type="auto" w:w="0"/>
        <w:jc w:val="center"/>
        <w:tblLook w:firstColumn="1" w:firstRow="1" w:lastColumn="0" w:lastRow="0" w:noHBand="0" w:noVBand="1" w:val="04A0"/>
      </w:tblPr>
      <w:tblGrid>
        <w:gridCol w:w="3230"/>
        <w:gridCol w:w="3230"/>
        <w:gridCol w:w="3230"/>
      </w:tblGrid>
      <w:tr>
        <w:tc>
          <w:tcPr>
            <w:tcW w:type="dxa" w:w="1984"/>
            <w:shd w:fill="1B3A5C"/>
          </w:tcPr>
          <w:p>
            <w:pPr>
              <w:jc w:val="center"/>
            </w:pPr>
            <w:r/>
            <w:r>
              <w:rPr>
                <w:rFonts w:ascii="Times New Roman" w:hAnsi="Times New Roman"/>
                <w:b/>
                <w:color w:val="FFFFFF"/>
                <w:sz w:val="22"/>
              </w:rPr>
              <w:t>Nhóm tiêu chuẩn</w:t>
            </w:r>
          </w:p>
        </w:tc>
        <w:tc>
          <w:tcPr>
            <w:tcW w:type="dxa" w:w="3402"/>
            <w:shd w:fill="1B3A5C"/>
          </w:tcPr>
          <w:p>
            <w:pPr>
              <w:jc w:val="center"/>
            </w:pPr>
            <w:r/>
            <w:r>
              <w:rPr>
                <w:rFonts w:ascii="Times New Roman" w:hAnsi="Times New Roman"/>
                <w:b/>
                <w:color w:val="FFFFFF"/>
                <w:sz w:val="22"/>
              </w:rPr>
              <w:t>Yêu cầu cốt lõi</w:t>
            </w:r>
          </w:p>
        </w:tc>
        <w:tc>
          <w:tcPr>
            <w:tcW w:type="dxa" w:w="3969"/>
            <w:shd w:fill="1B3A5C"/>
          </w:tcPr>
          <w:p>
            <w:pPr>
              <w:jc w:val="center"/>
            </w:pPr>
            <w:r/>
            <w:r>
              <w:rPr>
                <w:rFonts w:ascii="Times New Roman" w:hAnsi="Times New Roman"/>
                <w:b/>
                <w:color w:val="FFFFFF"/>
                <w:sz w:val="22"/>
              </w:rPr>
              <w:t>Ứng dụng tại Quảng Ngãi</w:t>
            </w:r>
          </w:p>
        </w:tc>
      </w:tr>
      <w:tr>
        <w:tc>
          <w:tcPr>
            <w:tcW w:type="dxa" w:w="1984"/>
          </w:tcPr>
          <w:p>
            <w:r/>
            <w:r>
              <w:rPr>
                <w:rFonts w:ascii="Times New Roman" w:hAnsi="Times New Roman"/>
                <w:sz w:val="22"/>
              </w:rPr>
              <w:t>1. Giao diện tích hợp chuẩn</w:t>
            </w:r>
          </w:p>
        </w:tc>
        <w:tc>
          <w:tcPr>
            <w:tcW w:type="dxa" w:w="3402"/>
          </w:tcPr>
          <w:p>
            <w:r/>
            <w:r>
              <w:rPr>
                <w:rFonts w:ascii="Times New Roman" w:hAnsi="Times New Roman"/>
                <w:sz w:val="22"/>
              </w:rPr>
              <w:t>Phần mềm phải cung cấp REST API hoặc cho phép truy cập DB trực tiếp qua CDC.</w:t>
            </w:r>
          </w:p>
        </w:tc>
        <w:tc>
          <w:tcPr>
            <w:tcW w:type="dxa" w:w="3969"/>
          </w:tcPr>
          <w:p>
            <w:r/>
            <w:r>
              <w:rPr>
                <w:rFonts w:ascii="Times New Roman" w:hAnsi="Times New Roman"/>
                <w:sz w:val="22"/>
              </w:rPr>
              <w:t>Yêu cầu FAST mở CDC; VTI/IRTECH mở REST API / DB replica.</w:t>
            </w:r>
          </w:p>
        </w:tc>
      </w:tr>
      <w:tr>
        <w:tc>
          <w:tcPr>
            <w:tcW w:type="dxa" w:w="1984"/>
            <w:shd w:fill="EFF6FF"/>
          </w:tcPr>
          <w:p>
            <w:r/>
            <w:r>
              <w:rPr>
                <w:rFonts w:ascii="Times New Roman" w:hAnsi="Times New Roman"/>
                <w:sz w:val="22"/>
              </w:rPr>
              <w:t>2. Change Data Capture</w:t>
            </w:r>
          </w:p>
        </w:tc>
        <w:tc>
          <w:tcPr>
            <w:tcW w:type="dxa" w:w="3402"/>
            <w:shd w:fill="EFF6FF"/>
          </w:tcPr>
          <w:p>
            <w:r/>
            <w:r>
              <w:rPr>
                <w:rFonts w:ascii="Times New Roman" w:hAnsi="Times New Roman"/>
                <w:sz w:val="22"/>
              </w:rPr>
              <w:t>Cơ chế CDC hoặc Change Log Table để đồng bộ thời gian thực.</w:t>
            </w:r>
          </w:p>
        </w:tc>
        <w:tc>
          <w:tcPr>
            <w:tcW w:type="dxa" w:w="3969"/>
            <w:shd w:fill="EFF6FF"/>
          </w:tcPr>
          <w:p>
            <w:r/>
            <w:r>
              <w:rPr>
                <w:rFonts w:ascii="Times New Roman" w:hAnsi="Times New Roman"/>
                <w:sz w:val="22"/>
              </w:rPr>
              <w:t>MESx kích hoạt Logical Replication / Debezium CDC.</w:t>
            </w:r>
          </w:p>
        </w:tc>
      </w:tr>
      <w:tr>
        <w:tc>
          <w:tcPr>
            <w:tcW w:type="dxa" w:w="1984"/>
          </w:tcPr>
          <w:p>
            <w:r/>
            <w:r>
              <w:rPr>
                <w:rFonts w:ascii="Times New Roman" w:hAnsi="Times New Roman"/>
                <w:sz w:val="22"/>
              </w:rPr>
              <w:t>3. Backfill &amp; Replay</w:t>
            </w:r>
          </w:p>
        </w:tc>
        <w:tc>
          <w:tcPr>
            <w:tcW w:type="dxa" w:w="3402"/>
          </w:tcPr>
          <w:p>
            <w:r/>
            <w:r>
              <w:rPr>
                <w:rFonts w:ascii="Times New Roman" w:hAnsi="Times New Roman"/>
                <w:sz w:val="22"/>
              </w:rPr>
              <w:t>Hỗ trợ time window để xử lý dữ liệu đến muộn và tái đồng bộ.</w:t>
            </w:r>
          </w:p>
        </w:tc>
        <w:tc>
          <w:tcPr>
            <w:tcW w:type="dxa" w:w="3969"/>
          </w:tcPr>
          <w:p>
            <w:r/>
            <w:r>
              <w:rPr>
                <w:rFonts w:ascii="Times New Roman" w:hAnsi="Times New Roman"/>
                <w:sz w:val="22"/>
              </w:rPr>
              <w:t>Replay lại dữ liệu từ mốc thời gian cụ thể khi Pipeline QN gián đoạn.</w:t>
            </w:r>
          </w:p>
        </w:tc>
      </w:tr>
      <w:tr>
        <w:tc>
          <w:tcPr>
            <w:tcW w:type="dxa" w:w="1984"/>
            <w:shd w:fill="EFF6FF"/>
          </w:tcPr>
          <w:p>
            <w:r/>
            <w:r>
              <w:rPr>
                <w:rFonts w:ascii="Times New Roman" w:hAnsi="Times New Roman"/>
                <w:sz w:val="22"/>
              </w:rPr>
              <w:t>4. Ổn định khóa chính</w:t>
            </w:r>
          </w:p>
        </w:tc>
        <w:tc>
          <w:tcPr>
            <w:tcW w:type="dxa" w:w="3402"/>
            <w:shd w:fill="EFF6FF"/>
          </w:tcPr>
          <w:p>
            <w:r/>
            <w:r>
              <w:rPr>
                <w:rFonts w:ascii="Times New Roman" w:hAnsi="Times New Roman"/>
                <w:sz w:val="22"/>
              </w:rPr>
              <w:t>Primary Key các thực thể lõi không đổi. Mapping ID với MDM/ESB TCT.</w:t>
            </w:r>
          </w:p>
        </w:tc>
        <w:tc>
          <w:tcPr>
            <w:tcW w:type="dxa" w:w="3969"/>
            <w:shd w:fill="EFF6FF"/>
          </w:tcPr>
          <w:p>
            <w:r/>
            <w:r>
              <w:rPr>
                <w:rFonts w:ascii="Times New Roman" w:hAnsi="Times New Roman"/>
                <w:sz w:val="22"/>
              </w:rPr>
              <w:t>Đối soát mã NCC, mã Vật tư giữa FAST ↔ MDM Hub TCT.</w:t>
            </w:r>
          </w:p>
        </w:tc>
      </w:tr>
      <w:tr>
        <w:tc>
          <w:tcPr>
            <w:tcW w:type="dxa" w:w="1984"/>
          </w:tcPr>
          <w:p>
            <w:r/>
            <w:r>
              <w:rPr>
                <w:rFonts w:ascii="Times New Roman" w:hAnsi="Times New Roman"/>
                <w:sz w:val="22"/>
              </w:rPr>
              <w:t>5. Bảo mật tích hợp &amp; IAM</w:t>
            </w:r>
          </w:p>
        </w:tc>
        <w:tc>
          <w:tcPr>
            <w:tcW w:type="dxa" w:w="3402"/>
          </w:tcPr>
          <w:p>
            <w:r/>
            <w:r>
              <w:rPr>
                <w:rFonts w:ascii="Times New Roman" w:hAnsi="Times New Roman"/>
                <w:sz w:val="22"/>
              </w:rPr>
              <w:t>Hỗ trợ OAuth 2.0 / OpenID Connect / mTLS; tích hợp SSO.</w:t>
            </w:r>
          </w:p>
        </w:tc>
        <w:tc>
          <w:tcPr>
            <w:tcW w:type="dxa" w:w="3969"/>
          </w:tcPr>
          <w:p>
            <w:r/>
            <w:r>
              <w:rPr>
                <w:rFonts w:ascii="Times New Roman" w:hAnsi="Times New Roman"/>
                <w:sz w:val="22"/>
              </w:rPr>
              <w:t>API từ QN về Hub TCT qua xác thực OAuth 2.0 token.</w:t>
            </w:r>
          </w:p>
        </w:tc>
      </w:tr>
      <w:tr>
        <w:tc>
          <w:tcPr>
            <w:tcW w:type="dxa" w:w="1984"/>
            <w:shd w:fill="EFF6FF"/>
          </w:tcPr>
          <w:p>
            <w:r/>
            <w:r>
              <w:rPr>
                <w:rFonts w:ascii="Times New Roman" w:hAnsi="Times New Roman"/>
                <w:sz w:val="22"/>
              </w:rPr>
              <w:t>6. Metadata &amp; Data Dictionary</w:t>
            </w:r>
          </w:p>
        </w:tc>
        <w:tc>
          <w:tcPr>
            <w:tcW w:type="dxa" w:w="3402"/>
            <w:shd w:fill="EFF6FF"/>
          </w:tcPr>
          <w:p>
            <w:r/>
            <w:r>
              <w:rPr>
                <w:rFonts w:ascii="Times New Roman" w:hAnsi="Times New Roman"/>
                <w:sz w:val="22"/>
              </w:rPr>
              <w:t>Cung cấp ERD, Data Dictionary; cập nhật khi thay đổi version.</w:t>
            </w:r>
          </w:p>
        </w:tc>
        <w:tc>
          <w:tcPr>
            <w:tcW w:type="dxa" w:w="3969"/>
            <w:shd w:fill="EFF6FF"/>
          </w:tcPr>
          <w:p>
            <w:r/>
            <w:r>
              <w:rPr>
                <w:rFonts w:ascii="Times New Roman" w:hAnsi="Times New Roman"/>
                <w:sz w:val="22"/>
              </w:rPr>
              <w:t>Vendor cung cấp ERD để đồng bộ vào Data Catalog (Purview).</w:t>
            </w:r>
          </w:p>
        </w:tc>
      </w:tr>
      <w:tr>
        <w:tc>
          <w:tcPr>
            <w:tcW w:type="dxa" w:w="1984"/>
          </w:tcPr>
          <w:p>
            <w:r/>
            <w:r>
              <w:rPr>
                <w:rFonts w:ascii="Times New Roman" w:hAnsi="Times New Roman"/>
                <w:sz w:val="22"/>
              </w:rPr>
              <w:t>7. Hiệu năng kênh tích hợp</w:t>
            </w:r>
          </w:p>
        </w:tc>
        <w:tc>
          <w:tcPr>
            <w:tcW w:type="dxa" w:w="3402"/>
          </w:tcPr>
          <w:p>
            <w:r/>
            <w:r>
              <w:rPr>
                <w:rFonts w:ascii="Times New Roman" w:hAnsi="Times New Roman"/>
                <w:sz w:val="22"/>
              </w:rPr>
              <w:t>Không giới hạn tích hợp bởi license; không ảnh hưởng hiệu năng giao dịch.</w:t>
            </w:r>
          </w:p>
        </w:tc>
        <w:tc>
          <w:tcPr>
            <w:tcW w:type="dxa" w:w="3969"/>
          </w:tcPr>
          <w:p>
            <w:r/>
            <w:r>
              <w:rPr>
                <w:rFonts w:ascii="Times New Roman" w:hAnsi="Times New Roman"/>
                <w:sz w:val="22"/>
              </w:rPr>
              <w:t>Đảm bảo job đêm không gây chậm phần mềm ban ngày.</w:t>
            </w:r>
          </w:p>
        </w:tc>
      </w:tr>
      <w:tr>
        <w:tc>
          <w:tcPr>
            <w:tcW w:type="dxa" w:w="1984"/>
            <w:shd w:fill="EFF6FF"/>
          </w:tcPr>
          <w:p>
            <w:r/>
            <w:r>
              <w:rPr>
                <w:rFonts w:ascii="Times New Roman" w:hAnsi="Times New Roman"/>
                <w:sz w:val="22"/>
              </w:rPr>
              <w:t>8. Idempotent &amp; Traceability</w:t>
            </w:r>
          </w:p>
        </w:tc>
        <w:tc>
          <w:tcPr>
            <w:tcW w:type="dxa" w:w="3402"/>
            <w:shd w:fill="EFF6FF"/>
          </w:tcPr>
          <w:p>
            <w:r/>
            <w:r>
              <w:rPr>
                <w:rFonts w:ascii="Times New Roman" w:hAnsi="Times New Roman"/>
                <w:sz w:val="22"/>
              </w:rPr>
              <w:t>API/Message idempotent; hỗ trợ correlationId / traceId.</w:t>
            </w:r>
          </w:p>
        </w:tc>
        <w:tc>
          <w:tcPr>
            <w:tcW w:type="dxa" w:w="3969"/>
            <w:shd w:fill="EFF6FF"/>
          </w:tcPr>
          <w:p>
            <w:r/>
            <w:r>
              <w:rPr>
                <w:rFonts w:ascii="Times New Roman" w:hAnsi="Times New Roman"/>
                <w:sz w:val="22"/>
              </w:rPr>
              <w:t>Mỗi giao dịch đồng bộ mang correlation ID truy vết.</w:t>
            </w:r>
          </w:p>
        </w:tc>
      </w:tr>
      <w:tr>
        <w:tc>
          <w:tcPr>
            <w:tcW w:type="dxa" w:w="1984"/>
          </w:tcPr>
          <w:p>
            <w:r/>
            <w:r>
              <w:rPr>
                <w:rFonts w:ascii="Times New Roman" w:hAnsi="Times New Roman"/>
                <w:sz w:val="22"/>
              </w:rPr>
              <w:t>9. Môi trường DEV/UAT</w:t>
            </w:r>
          </w:p>
        </w:tc>
        <w:tc>
          <w:tcPr>
            <w:tcW w:type="dxa" w:w="3402"/>
          </w:tcPr>
          <w:p>
            <w:r/>
            <w:r>
              <w:rPr>
                <w:rFonts w:ascii="Times New Roman" w:hAnsi="Times New Roman"/>
                <w:sz w:val="22"/>
              </w:rPr>
              <w:t>Cấp DEV/UAT tương đương production; dữ liệu mẫu test 2 chiều.</w:t>
            </w:r>
          </w:p>
        </w:tc>
        <w:tc>
          <w:tcPr>
            <w:tcW w:type="dxa" w:w="3969"/>
          </w:tcPr>
          <w:p>
            <w:r/>
            <w:r>
              <w:rPr>
                <w:rFonts w:ascii="Times New Roman" w:hAnsi="Times New Roman"/>
                <w:sz w:val="22"/>
              </w:rPr>
              <w:t>Test đầy đủ trên UAT trước khi go-live Pipeline.</w:t>
            </w:r>
          </w:p>
        </w:tc>
      </w:tr>
      <w:tr>
        <w:tc>
          <w:tcPr>
            <w:tcW w:type="dxa" w:w="1984"/>
            <w:shd w:fill="EFF6FF"/>
          </w:tcPr>
          <w:p>
            <w:r/>
            <w:r>
              <w:rPr>
                <w:rFonts w:ascii="Times New Roman" w:hAnsi="Times New Roman"/>
                <w:sz w:val="22"/>
              </w:rPr>
              <w:t>10. Không khóa vendor</w:t>
            </w:r>
          </w:p>
        </w:tc>
        <w:tc>
          <w:tcPr>
            <w:tcW w:type="dxa" w:w="3402"/>
            <w:shd w:fill="EFF6FF"/>
          </w:tcPr>
          <w:p>
            <w:r/>
            <w:r>
              <w:rPr>
                <w:rFonts w:ascii="Times New Roman" w:hAnsi="Times New Roman"/>
                <w:sz w:val="22"/>
              </w:rPr>
              <w:t>Cấu hình/API có thể truy cập bởi đội QN/TCT, không độc quyền.</w:t>
            </w:r>
          </w:p>
        </w:tc>
        <w:tc>
          <w:tcPr>
            <w:tcW w:type="dxa" w:w="3969"/>
            <w:shd w:fill="EFF6FF"/>
          </w:tcPr>
          <w:p>
            <w:r/>
            <w:r>
              <w:rPr>
                <w:rFonts w:ascii="Times New Roman" w:hAnsi="Times New Roman"/>
                <w:sz w:val="22"/>
              </w:rPr>
              <w:t>QN tự vận hành được Pipeline khi hết HĐ bảo trì.</w:t>
            </w:r>
          </w:p>
        </w:tc>
      </w:tr>
      <w:tr>
        <w:tc>
          <w:tcPr>
            <w:tcW w:type="dxa" w:w="1984"/>
          </w:tcPr>
          <w:p>
            <w:r/>
            <w:r>
              <w:rPr>
                <w:rFonts w:ascii="Times New Roman" w:hAnsi="Times New Roman"/>
                <w:sz w:val="22"/>
              </w:rPr>
              <w:t>11. Chất lượng dữ liệu</w:t>
            </w:r>
          </w:p>
        </w:tc>
        <w:tc>
          <w:tcPr>
            <w:tcW w:type="dxa" w:w="3402"/>
          </w:tcPr>
          <w:p>
            <w:r/>
            <w:r>
              <w:rPr>
                <w:rFonts w:ascii="Times New Roman" w:hAnsi="Times New Roman"/>
                <w:sz w:val="22"/>
              </w:rPr>
              <w:t>Cung cấp Data Quality Rules; cơ chế quarantine bản ghi lỗi.</w:t>
            </w:r>
          </w:p>
        </w:tc>
        <w:tc>
          <w:tcPr>
            <w:tcW w:type="dxa" w:w="3969"/>
          </w:tcPr>
          <w:p>
            <w:r/>
            <w:r>
              <w:rPr>
                <w:rFonts w:ascii="Times New Roman" w:hAnsi="Times New Roman"/>
                <w:sz w:val="22"/>
              </w:rPr>
              <w:t>Landing Zone QN chạy Validation tự động, tách lỗi.</w:t>
            </w:r>
          </w:p>
        </w:tc>
      </w:tr>
      <w:tr>
        <w:tc>
          <w:tcPr>
            <w:tcW w:type="dxa" w:w="1984"/>
            <w:shd w:fill="EFF6FF"/>
          </w:tcPr>
          <w:p>
            <w:r/>
            <w:r>
              <w:rPr>
                <w:rFonts w:ascii="Times New Roman" w:hAnsi="Times New Roman"/>
                <w:sz w:val="22"/>
              </w:rPr>
              <w:t>12. Giám sát vận hành</w:t>
            </w:r>
          </w:p>
        </w:tc>
        <w:tc>
          <w:tcPr>
            <w:tcW w:type="dxa" w:w="3402"/>
            <w:shd w:fill="EFF6FF"/>
          </w:tcPr>
          <w:p>
            <w:r/>
            <w:r>
              <w:rPr>
                <w:rFonts w:ascii="Times New Roman" w:hAnsi="Times New Roman"/>
                <w:sz w:val="22"/>
              </w:rPr>
              <w:t>Cung cấp metric: giao dịch, lỗi, retry, độ trễ; cung cấp Runbook.</w:t>
            </w:r>
          </w:p>
        </w:tc>
        <w:tc>
          <w:tcPr>
            <w:tcW w:type="dxa" w:w="3969"/>
            <w:shd w:fill="EFF6FF"/>
          </w:tcPr>
          <w:p>
            <w:r/>
            <w:r>
              <w:rPr>
                <w:rFonts w:ascii="Times New Roman" w:hAnsi="Times New Roman"/>
                <w:sz w:val="22"/>
              </w:rPr>
              <w:t>Tích hợp metric Pipeline QN vào SIEM/SOC TCT.</w:t>
            </w:r>
          </w:p>
        </w:tc>
      </w:tr>
      <w:tr>
        <w:tc>
          <w:tcPr>
            <w:tcW w:type="dxa" w:w="1984"/>
          </w:tcPr>
          <w:p>
            <w:r/>
            <w:r>
              <w:rPr>
                <w:rFonts w:ascii="Times New Roman" w:hAnsi="Times New Roman"/>
                <w:sz w:val="22"/>
              </w:rPr>
              <w:t>13. Quản lý thay đổi Schema</w:t>
            </w:r>
          </w:p>
        </w:tc>
        <w:tc>
          <w:tcPr>
            <w:tcW w:type="dxa" w:w="3402"/>
          </w:tcPr>
          <w:p>
            <w:r/>
            <w:r>
              <w:rPr>
                <w:rFonts w:ascii="Times New Roman" w:hAnsi="Times New Roman"/>
                <w:sz w:val="22"/>
              </w:rPr>
              <w:t>Versioning, backward compatible; deprecation policy.</w:t>
            </w:r>
          </w:p>
        </w:tc>
        <w:tc>
          <w:tcPr>
            <w:tcW w:type="dxa" w:w="3969"/>
          </w:tcPr>
          <w:p>
            <w:r/>
            <w:r>
              <w:rPr>
                <w:rFonts w:ascii="Times New Roman" w:hAnsi="Times New Roman"/>
                <w:sz w:val="22"/>
              </w:rPr>
              <w:t>Vendor thông báo trước khi nâng cấp FAST/VTI.</w:t>
            </w:r>
          </w:p>
        </w:tc>
      </w:tr>
    </w:tbl>
    <w:p>
      <w:pPr>
        <w:pStyle w:val="Heading1"/>
      </w:pPr>
      <w:r>
        <w:rPr>
          <w:rFonts w:ascii="Times New Roman" w:hAnsi="Times New Roman"/>
          <w:color w:val="1B3A5C"/>
        </w:rPr>
        <w:t>8. LỘ TRÌNH DÀI HẠN: ĐIỀU KIỆN TỐT NGHIỆP TỪ LEVEL 3 LÊN LEVEL 4</w:t>
      </w:r>
    </w:p>
    <w:p>
      <w:pPr>
        <w:spacing w:after="120"/>
      </w:pPr>
      <w:r>
        <w:rPr>
          <w:rFonts w:ascii="Times New Roman" w:hAnsi="Times New Roman"/>
          <w:b w:val="0"/>
          <w:i w:val="0"/>
          <w:sz w:val="26"/>
        </w:rPr>
        <w:t>Level 3 là mức tối ưu nhất cho PTSC Quảng Ngãi ở giai đoạn hiện tại. TCT đã quy hoạch sẵn lộ trình nâng cấp lên Level 4 cho các đơn vị đủ điều kiện sau năm 2028 dựa trên các tiêu chí:</w:t>
      </w:r>
    </w:p>
    <w:p>
      <w:pPr>
        <w:pStyle w:val="ListBullet"/>
        <w:ind w:left="567"/>
      </w:pPr>
      <w:r>
        <w:rPr>
          <w:rFonts w:ascii="Times New Roman" w:hAnsi="Times New Roman"/>
          <w:sz w:val="26"/>
        </w:rPr>
        <w:t>Khối lượng &amp; tốc độ tăng dữ liệu (Đẩy thô về Hub tốn kém hơn xử lý tại chỗ?)</w:t>
      </w:r>
    </w:p>
    <w:p>
      <w:pPr>
        <w:pStyle w:val="ListBullet"/>
        <w:ind w:left="567"/>
      </w:pPr>
      <w:r>
        <w:rPr>
          <w:rFonts w:ascii="Times New Roman" w:hAnsi="Times New Roman"/>
          <w:sz w:val="26"/>
        </w:rPr>
        <w:t>Nhu cầu phân tích chuyên ngành cường độ cao (IoT/thời gian thực?)</w:t>
      </w:r>
    </w:p>
    <w:p>
      <w:pPr>
        <w:pStyle w:val="ListBullet"/>
        <w:ind w:left="567"/>
      </w:pPr>
      <w:r>
        <w:rPr>
          <w:rFonts w:ascii="Times New Roman" w:hAnsi="Times New Roman"/>
          <w:sz w:val="26"/>
        </w:rPr>
        <w:t>Ràng buộc pháp lý / hợp đồng (Dữ liệu buộc lưu/xử lý tại đơn vị?)</w:t>
      </w:r>
    </w:p>
    <w:p>
      <w:pPr>
        <w:pStyle w:val="ListBullet"/>
        <w:ind w:left="567"/>
      </w:pPr>
      <w:r>
        <w:rPr>
          <w:rFonts w:ascii="Times New Roman" w:hAnsi="Times New Roman"/>
          <w:sz w:val="26"/>
        </w:rPr>
        <w:t>Năng lực vận hành (Đội CNTT đơn vị đủ khả năng vận hành chuẩn TCT?)</w:t>
      </w:r>
    </w:p>
    <w:p>
      <w:pPr>
        <w:spacing w:after="120"/>
      </w:pPr>
      <w:r>
        <w:rPr>
          <w:rFonts w:ascii="Times New Roman" w:hAnsi="Times New Roman"/>
          <w:b/>
          <w:i w:val="0"/>
          <w:sz w:val="26"/>
        </w:rPr>
        <w:t>Bảng so sánh chi phí &amp; lợi ích giữa L3 và L4:</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fill="1B3A5C"/>
          </w:tcPr>
          <w:p>
            <w:pPr>
              <w:jc w:val="center"/>
            </w:pPr>
            <w:r/>
            <w:r>
              <w:rPr>
                <w:rFonts w:ascii="Times New Roman" w:hAnsi="Times New Roman"/>
                <w:b/>
                <w:color w:val="FFFFFF"/>
                <w:sz w:val="22"/>
              </w:rPr>
              <w:t>Tiêu chí</w:t>
            </w:r>
          </w:p>
        </w:tc>
        <w:tc>
          <w:tcPr>
            <w:tcW w:type="dxa" w:w="3402"/>
            <w:shd w:fill="1B3A5C"/>
          </w:tcPr>
          <w:p>
            <w:pPr>
              <w:jc w:val="center"/>
            </w:pPr>
            <w:r/>
            <w:r>
              <w:rPr>
                <w:rFonts w:ascii="Times New Roman" w:hAnsi="Times New Roman"/>
                <w:b/>
                <w:color w:val="FFFFFF"/>
                <w:sz w:val="22"/>
              </w:rPr>
              <w:t>Level 3 (Hiện tại)</w:t>
            </w:r>
          </w:p>
        </w:tc>
        <w:tc>
          <w:tcPr>
            <w:tcW w:type="dxa" w:w="3685"/>
            <w:shd w:fill="1B3A5C"/>
          </w:tcPr>
          <w:p>
            <w:pPr>
              <w:jc w:val="center"/>
            </w:pPr>
            <w:r/>
            <w:r>
              <w:rPr>
                <w:rFonts w:ascii="Times New Roman" w:hAnsi="Times New Roman"/>
                <w:b/>
                <w:color w:val="FFFFFF"/>
                <w:sz w:val="22"/>
              </w:rPr>
              <w:t>Level 4 (Tương lai)</w:t>
            </w:r>
          </w:p>
        </w:tc>
      </w:tr>
      <w:tr>
        <w:tc>
          <w:tcPr>
            <w:tcW w:type="dxa" w:w="2268"/>
          </w:tcPr>
          <w:p>
            <w:r/>
            <w:r>
              <w:rPr>
                <w:rFonts w:ascii="Times New Roman" w:hAnsi="Times New Roman"/>
                <w:sz w:val="22"/>
              </w:rPr>
              <w:t>Chi phí hạ tầng (CAPEX)</w:t>
            </w:r>
          </w:p>
        </w:tc>
        <w:tc>
          <w:tcPr>
            <w:tcW w:type="dxa" w:w="3402"/>
          </w:tcPr>
          <w:p>
            <w:r/>
            <w:r>
              <w:rPr>
                <w:rFonts w:ascii="Times New Roman" w:hAnsi="Times New Roman"/>
                <w:sz w:val="22"/>
              </w:rPr>
              <w:t>Không phát sinh — dùng chung Hub TCT</w:t>
            </w:r>
          </w:p>
        </w:tc>
        <w:tc>
          <w:tcPr>
            <w:tcW w:type="dxa" w:w="3685"/>
          </w:tcPr>
          <w:p>
            <w:r/>
            <w:r>
              <w:rPr>
                <w:rFonts w:ascii="Times New Roman" w:hAnsi="Times New Roman"/>
                <w:sz w:val="22"/>
              </w:rPr>
              <w:t>Cao — đầu tư cụm dHCI riêng tại đơn vị</w:t>
            </w:r>
          </w:p>
        </w:tc>
      </w:tr>
      <w:tr>
        <w:tc>
          <w:tcPr>
            <w:tcW w:type="dxa" w:w="2268"/>
            <w:shd w:fill="EFF6FF"/>
          </w:tcPr>
          <w:p>
            <w:r/>
            <w:r>
              <w:rPr>
                <w:rFonts w:ascii="Times New Roman" w:hAnsi="Times New Roman"/>
                <w:sz w:val="22"/>
              </w:rPr>
              <w:t>Chi phí vận hành (OPEX)</w:t>
            </w:r>
          </w:p>
        </w:tc>
        <w:tc>
          <w:tcPr>
            <w:tcW w:type="dxa" w:w="3402"/>
            <w:shd w:fill="EFF6FF"/>
          </w:tcPr>
          <w:p>
            <w:r/>
            <w:r>
              <w:rPr>
                <w:rFonts w:ascii="Times New Roman" w:hAnsi="Times New Roman"/>
                <w:sz w:val="22"/>
              </w:rPr>
              <w:t>Thấp — phân bổ theo mức sử dụng</w:t>
            </w:r>
          </w:p>
        </w:tc>
        <w:tc>
          <w:tcPr>
            <w:tcW w:type="dxa" w:w="3685"/>
            <w:shd w:fill="EFF6FF"/>
          </w:tcPr>
          <w:p>
            <w:r/>
            <w:r>
              <w:rPr>
                <w:rFonts w:ascii="Times New Roman" w:hAnsi="Times New Roman"/>
                <w:sz w:val="22"/>
              </w:rPr>
              <w:t>Cao — cần đội vận hành chuyên trách</w:t>
            </w:r>
          </w:p>
        </w:tc>
      </w:tr>
      <w:tr>
        <w:tc>
          <w:tcPr>
            <w:tcW w:type="dxa" w:w="2268"/>
          </w:tcPr>
          <w:p>
            <w:r/>
            <w:r>
              <w:rPr>
                <w:rFonts w:ascii="Times New Roman" w:hAnsi="Times New Roman"/>
                <w:sz w:val="22"/>
              </w:rPr>
              <w:t>Quyền dữ liệu chuyên ngành</w:t>
            </w:r>
          </w:p>
        </w:tc>
        <w:tc>
          <w:tcPr>
            <w:tcW w:type="dxa" w:w="3402"/>
          </w:tcPr>
          <w:p>
            <w:r/>
            <w:r>
              <w:rPr>
                <w:rFonts w:ascii="Times New Roman" w:hAnsi="Times New Roman"/>
                <w:sz w:val="22"/>
              </w:rPr>
              <w:t>Tenant riêng, hạ tầng tại Hub</w:t>
            </w:r>
          </w:p>
        </w:tc>
        <w:tc>
          <w:tcPr>
            <w:tcW w:type="dxa" w:w="3685"/>
          </w:tcPr>
          <w:p>
            <w:r/>
            <w:r>
              <w:rPr>
                <w:rFonts w:ascii="Times New Roman" w:hAnsi="Times New Roman"/>
                <w:sz w:val="22"/>
              </w:rPr>
              <w:t>Chủ động hoàn toàn — dữ liệu lưu tại đơn vị</w:t>
            </w:r>
          </w:p>
        </w:tc>
      </w:tr>
      <w:tr>
        <w:tc>
          <w:tcPr>
            <w:tcW w:type="dxa" w:w="2268"/>
            <w:shd w:fill="EFF6FF"/>
          </w:tcPr>
          <w:p>
            <w:r/>
            <w:r>
              <w:rPr>
                <w:rFonts w:ascii="Times New Roman" w:hAnsi="Times New Roman"/>
                <w:sz w:val="22"/>
              </w:rPr>
              <w:t>Khả năng Real-time / IoT</w:t>
            </w:r>
          </w:p>
        </w:tc>
        <w:tc>
          <w:tcPr>
            <w:tcW w:type="dxa" w:w="3402"/>
            <w:shd w:fill="EFF6FF"/>
          </w:tcPr>
          <w:p>
            <w:r/>
            <w:r>
              <w:rPr>
                <w:rFonts w:ascii="Times New Roman" w:hAnsi="Times New Roman"/>
                <w:sz w:val="22"/>
              </w:rPr>
              <w:t>Hạn chế — phụ thuộc băng thông về Hub</w:t>
            </w:r>
          </w:p>
        </w:tc>
        <w:tc>
          <w:tcPr>
            <w:tcW w:type="dxa" w:w="3685"/>
            <w:shd w:fill="EFF6FF"/>
          </w:tcPr>
          <w:p>
            <w:r/>
            <w:r>
              <w:rPr>
                <w:rFonts w:ascii="Times New Roman" w:hAnsi="Times New Roman"/>
                <w:sz w:val="22"/>
              </w:rPr>
              <w:t>Chủ động hoàn toàn — xử lý tại chỗ</w:t>
            </w:r>
          </w:p>
        </w:tc>
      </w:tr>
      <w:tr>
        <w:tc>
          <w:tcPr>
            <w:tcW w:type="dxa" w:w="2268"/>
          </w:tcPr>
          <w:p>
            <w:r/>
            <w:r>
              <w:rPr>
                <w:rFonts w:ascii="Times New Roman" w:hAnsi="Times New Roman"/>
                <w:sz w:val="22"/>
              </w:rPr>
              <w:t>Mức trưởng thành số (DBI)</w:t>
            </w:r>
          </w:p>
        </w:tc>
        <w:tc>
          <w:tcPr>
            <w:tcW w:type="dxa" w:w="3402"/>
          </w:tcPr>
          <w:p>
            <w:r/>
            <w:r>
              <w:rPr>
                <w:rFonts w:ascii="Times New Roman" w:hAnsi="Times New Roman"/>
                <w:sz w:val="22"/>
              </w:rPr>
              <w:t>Từ 2.0 đến 3.5</w:t>
            </w:r>
          </w:p>
        </w:tc>
        <w:tc>
          <w:tcPr>
            <w:tcW w:type="dxa" w:w="3685"/>
          </w:tcPr>
          <w:p>
            <w:r/>
            <w:r>
              <w:rPr>
                <w:rFonts w:ascii="Times New Roman" w:hAnsi="Times New Roman"/>
                <w:sz w:val="22"/>
              </w:rPr>
              <w:t>Trên 3.5</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