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overflowPunct/>
        <w:autoSpaceDN/>
      </w:pPr>
      <w:bookmarkStart w:name="cudoc0ExZTB9eOp6XGl6KI6hg6N2NdD" w:id="2"/>
      <w:bookmarkEnd w:id="2"/>
      <w:bookmarkStart w:name="cudocNSMlPb2tbKIzv1xOpTPofW08Ih" w:id="1"/>
      <w:r>
        <w:t xml:space="preserve">Northlight Weather API </w:t>
      </w:r>
      <w:r>
        <w:rPr>
          <w:rStyle w:val="CudocBadge"/>
        </w:rPr>
        <w:t xml:space="preserve"> v1 </w:t>
      </w:r>
      <w:r>
        <w:t xml:space="preserve"/>
      </w:r>
      <w:bookmarkEnd w:id="1"/>
    </w:p>
    <w:p>
      <w:pPr>
        <w:pStyle w:val="CudocBody"/>
        <w:overflowPunct/>
        <w:autoSpaceDN/>
      </w:pPr>
      <w:r>
        <w:t xml:space="preserve">Northlight serves current conditions, short-range forecasts and observation history for a network of weather stations along the Nordic coast. This handbook is one set of Markdown documents that cudoc publishes three ways: as the site you may be reading, as a bound PDF with a cover and a contents page, and as a Word file with real styles. Every figure below is drawn from the reference pages, so a correction there reaches this page too.</w:t>
      </w:r>
    </w:p>
    <w:p>
      <w:pPr>
        <w:pStyle w:val="CudocCalloutNoteTitle"/>
        <w:overflowPunct/>
        <w:autoSpaceDN/>
      </w:pPr>
      <w:r>
        <w:t xml:space="preserve">How this handbook is built</w:t>
      </w:r>
    </w:p>
    <w:p>
      <w:pPr>
        <w:pStyle w:val="CudocCalloutNote"/>
        <w:overflowPunct/>
        <w:autoSpaceDN/>
      </w:pPr>
      <w:r>
        <w:t xml:space="preserve">The site, the PDF and the Word file come from one </w:t>
      </w:r>
      <w:r>
        <w:rPr>
          <w:rStyle w:val="CudocCode"/>
        </w:rPr>
        <w:t xml:space="preserve">cudoc-export build</w:t>
      </w:r>
      <w:r>
        <w:t xml:space="preserve"> run and one set of design tokens. The configuration is a single file, </w:t>
      </w:r>
      <w:r>
        <w:rPr>
          <w:rStyle w:val="CudocCode"/>
        </w:rPr>
        <w:t xml:space="preserve">showcase.config.mjs</w:t>
      </w:r>
      <w:r>
        <w:t xml:space="preserve">, beside the documents, and the summary table further down is assembled from the endpoint reference at build time.</w:t>
      </w:r>
    </w:p>
    <w:p>
      <w:pPr>
        <w:pStyle w:val="Heading2"/>
        <w:overflowPunct/>
        <w:autoSpaceDN/>
      </w:pPr>
      <w:bookmarkStart w:name="cudocxVzg8RvWFXNrZUnAyHSMzkcr7r" w:id="3"/>
      <w:r>
        <w:t xml:space="preserve">What the API provides</w:t>
      </w:r>
      <w:bookmarkEnd w:id="3"/>
    </w:p>
    <w:p>
      <w:pPr>
        <w:pStyle w:val="CudocBody"/>
        <w:overflowPunct/>
        <w:autoSpaceDN/>
      </w:pPr>
      <w:r>
        <w:t xml:space="preserve">Every station reports temperature, wind, humidity, pressure and precipitation on a fixed schedule, and the forecast model runs once an hour for every station. The API exposes that data as four data sets, each behind one or two endpoints.</w:t>
      </w:r>
    </w:p>
    <w:tbl>
      <w:tblPr>
        <w:tblW w:type="pct" w:w="100%"/>
        <w:tblBorders>
          <w:top w:val="single" w:color="E2E8F0" w:sz="4"/>
          <w:left w:val="none" w:color="auto" w:sz="0"/>
          <w:bottom w:val="single" w:color="E2E8F0" w:sz="4"/>
          <w:right w:val="none" w:color="auto" w:sz="0"/>
          <w:insideH w:val="none" w:color="auto" w:sz="0"/>
          <w:insideV w:val="none" w:color="auto" w:sz="0"/>
        </w:tblBorders>
      </w:tblPr>
      <w:tblGrid>
        <w:gridCol w:w="2409"/>
        <w:gridCol w:w="2409"/>
        <w:gridCol w:w="2409"/>
        <w:gridCol w:w="2409"/>
      </w:tblGrid>
      <w:tr>
        <w:trPr>
          <w:cantSplit/>
          <w:tblHeader/>
        </w:trPr>
        <w:tc>
          <w:tcPr>
            <w:tcW w:type="dxa" w:w="2409"/>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Data set</w:t>
            </w:r>
          </w:p>
        </w:tc>
        <w:tc>
          <w:tcPr>
            <w:tcW w:type="dxa" w:w="2409"/>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Cadence</w:t>
            </w:r>
          </w:p>
        </w:tc>
        <w:tc>
          <w:tcPr>
            <w:tcW w:type="dxa" w:w="2409"/>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Retention</w:t>
            </w:r>
          </w:p>
        </w:tc>
        <w:tc>
          <w:tcPr>
            <w:tcW w:type="dxa" w:w="2409"/>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Endpoints</w:t>
            </w:r>
          </w:p>
        </w:tc>
      </w:tr>
      <w:tr>
        <w:trPr>
          <w:cantSplit/>
          <w:tblHeader w:val="false"/>
        </w:trPr>
        <w:tc>
          <w:tcPr>
            <w:tcW w:type="dxa" w:w="2409"/>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Current conditions</w:t>
            </w:r>
          </w:p>
        </w:tc>
        <w:tc>
          <w:tcPr>
            <w:tcW w:type="dxa" w:w="2409"/>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Every 10 minutes</w:t>
            </w:r>
          </w:p>
        </w:tc>
        <w:tc>
          <w:tcPr>
            <w:tcW w:type="dxa" w:w="2409"/>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Latest reading only</w:t>
            </w:r>
          </w:p>
        </w:tc>
        <w:tc>
          <w:tcPr>
            <w:tcW w:type="dxa" w:w="2409"/>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hyperlink w:history="1" r:id="rIdqc0ujh8e7c5ycocvvmaii">
              <w:r>
                <w:t xml:space="preserve">Current conditions</w:t>
              </w:r>
            </w:hyperlink>
          </w:p>
        </w:tc>
      </w:tr>
      <w:tr>
        <w:trPr>
          <w:cantSplit/>
          <w:tblHeader w:val="false"/>
        </w:trPr>
        <w:tc>
          <w:tcPr>
            <w:tcW w:type="dxa" w:w="2409"/>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Forecasts</w:t>
            </w:r>
          </w:p>
        </w:tc>
        <w:tc>
          <w:tcPr>
            <w:tcW w:type="dxa" w:w="2409"/>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Hourly model run</w:t>
            </w:r>
          </w:p>
        </w:tc>
        <w:tc>
          <w:tcPr>
            <w:tcW w:type="dxa" w:w="2409"/>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48 hours and 7 days ahead</w:t>
            </w:r>
          </w:p>
        </w:tc>
        <w:tc>
          <w:tcPr>
            <w:tcW w:type="dxa" w:w="2409"/>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hyperlink w:history="1" r:id="rIdmsjreupti7-xfhnn3l4fu">
              <w:r>
                <w:t xml:space="preserve">Hourly forecast</w:t>
              </w:r>
            </w:hyperlink>
            <w:r>
              <w:t xml:space="preserve">, </w:t>
            </w:r>
            <w:hyperlink w:history="1" r:id="rIdvmpckwhgg0-yn6kxdqdzd">
              <w:r>
                <w:t xml:space="preserve">Daily forecast</w:t>
              </w:r>
            </w:hyperlink>
          </w:p>
        </w:tc>
      </w:tr>
      <w:tr>
        <w:trPr>
          <w:cantSplit/>
          <w:tblHeader w:val="false"/>
        </w:trPr>
        <w:tc>
          <w:tcPr>
            <w:tcW w:type="dxa" w:w="2409"/>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Observation history</w:t>
            </w:r>
          </w:p>
        </w:tc>
        <w:tc>
          <w:tcPr>
            <w:tcW w:type="dxa" w:w="2409"/>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Every 10 minutes</w:t>
            </w:r>
          </w:p>
        </w:tc>
        <w:tc>
          <w:tcPr>
            <w:tcW w:type="dxa" w:w="2409"/>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Depends on the plan</w:t>
            </w:r>
          </w:p>
        </w:tc>
        <w:tc>
          <w:tcPr>
            <w:tcW w:type="dxa" w:w="2409"/>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hyperlink w:history="1" r:id="rIdur6srpy_gsp_jvxct8ych">
              <w:r>
                <w:t xml:space="preserve">Observation history</w:t>
              </w:r>
            </w:hyperlink>
          </w:p>
        </w:tc>
      </w:tr>
      <w:tr>
        <w:trPr>
          <w:cantSplit/>
          <w:tblHeader w:val="false"/>
        </w:trPr>
        <w:tc>
          <w:tcPr>
            <w:tcW w:type="dxa" w:w="2409"/>
            <w:gridSpan w:val="1"/>
            <w:tcBorders>
              <w:top w:val="none" w:color="auto" w:sz="0"/>
              <w:left w:val="none" w:color="auto" w:sz="0"/>
              <w:bottom w:val="none" w:color="auto" w:sz="0"/>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Station metadata</w:t>
            </w:r>
          </w:p>
        </w:tc>
        <w:tc>
          <w:tcPr>
            <w:tcW w:type="dxa" w:w="2409"/>
            <w:gridSpan w:val="1"/>
            <w:tcBorders>
              <w:top w:val="none" w:color="auto" w:sz="0"/>
              <w:left w:val="none" w:color="auto" w:sz="0"/>
              <w:bottom w:val="none" w:color="auto" w:sz="0"/>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On change</w:t>
            </w:r>
          </w:p>
        </w:tc>
        <w:tc>
          <w:tcPr>
            <w:tcW w:type="dxa" w:w="2409"/>
            <w:gridSpan w:val="1"/>
            <w:tcBorders>
              <w:top w:val="none" w:color="auto" w:sz="0"/>
              <w:left w:val="none" w:color="auto" w:sz="0"/>
              <w:bottom w:val="none" w:color="auto" w:sz="0"/>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Indefinite</w:t>
            </w:r>
          </w:p>
        </w:tc>
        <w:tc>
          <w:tcPr>
            <w:tcW w:type="dxa" w:w="2409"/>
            <w:gridSpan w:val="1"/>
            <w:tcBorders>
              <w:top w:val="none" w:color="auto" w:sz="0"/>
              <w:left w:val="none" w:color="auto" w:sz="0"/>
              <w:bottom w:val="none" w:color="auto" w:sz="0"/>
              <w:right w:val="none" w:color="auto" w:sz="0"/>
            </w:tcBorders>
            <w:shd w:fill="FAFBFD" w:val="clear"/>
            <w:tcMar>
              <w:top w:type="dxa" w:w="105"/>
              <w:left w:type="dxa" w:w="158"/>
              <w:bottom w:type="dxa" w:w="105"/>
              <w:right w:type="dxa" w:w="158"/>
            </w:tcMar>
            <w:vAlign w:val="top"/>
          </w:tcPr>
          <w:p>
            <w:pPr>
              <w:pStyle w:val="CudocTableCell"/>
              <w:overflowPunct/>
              <w:autoSpaceDN/>
            </w:pPr>
            <w:hyperlink w:history="1" r:id="rIdqb4tccojclkolcf5j7h8e">
              <w:r>
                <w:t xml:space="preserve">Station directory</w:t>
              </w:r>
            </w:hyperlink>
            <w:r>
              <w:t xml:space="preserve">, </w:t>
            </w:r>
            <w:hyperlink w:history="1" r:id="rIdfcyvxhyfrr9kus5urluls">
              <w:r>
                <w:t xml:space="preserve">Station detail</w:t>
              </w:r>
            </w:hyperlink>
          </w:p>
        </w:tc>
      </w:tr>
    </w:tbl>
    <w:p>
      <w:pPr>
        <w:pStyle w:val="CudocBody"/>
        <w:overflowPunct/>
        <w:spacing w:before="210"/>
        <w:autoSpaceDN/>
      </w:pPr>
      <w:r>
        <w:t xml:space="preserve">Forecast horizons and history retention depend on the plan; see </w:t>
      </w:r>
      <w:hyperlink w:history="1" r:id="rIdqgvpdiak-46xuwuhvdkpm">
        <w:r>
          <w:t xml:space="preserve">Plans compared</w:t>
        </w:r>
      </w:hyperlink>
      <w:r>
        <w:t xml:space="preserve">.</w:t>
      </w:r>
    </w:p>
    <w:p>
      <w:pPr>
        <w:pStyle w:val="Heading2"/>
        <w:overflowPunct/>
        <w:autoSpaceDN/>
      </w:pPr>
      <w:bookmarkStart w:name="cudoclXfihImEmtiieNQ3WItNMVg8t3" w:id="4"/>
      <w:r>
        <w:t xml:space="preserve">Endpoints at a glance</w:t>
      </w:r>
      <w:bookmarkEnd w:id="4"/>
    </w:p>
    <w:p>
      <w:pPr>
        <w:pStyle w:val="CudocBody"/>
        <w:overflowPunct/>
        <w:autoSpaceDN/>
      </w:pPr>
      <w:r>
        <w:t xml:space="preserve">Each row is one section of the endpoint reference. The method and the path are read from the table at the top of that section, and the description is its first paragraph, so this table cannot drift from the reference.</w:t>
      </w:r>
    </w:p>
    <w:tbl>
      <w:tblPr>
        <w:tblW w:type="pct" w:w="100%"/>
        <w:tblBorders>
          <w:top w:val="single" w:color="E2E8F0" w:sz="4"/>
          <w:left w:val="none" w:color="auto" w:sz="0"/>
          <w:bottom w:val="single" w:color="E2E8F0" w:sz="4"/>
          <w:right w:val="none" w:color="auto" w:sz="0"/>
          <w:insideH w:val="none" w:color="auto" w:sz="0"/>
          <w:insideV w:val="none" w:color="auto" w:sz="0"/>
        </w:tblBorders>
      </w:tblPr>
      <w:tblGrid>
        <w:gridCol w:w="2400"/>
        <w:gridCol w:w="1200"/>
        <w:gridCol w:w="3120"/>
        <w:gridCol w:w="2918"/>
      </w:tblGrid>
      <w:tr>
        <w:trPr>
          <w:cantSplit/>
          <w:tblHeader/>
        </w:trPr>
        <w:tc>
          <w:tcPr>
            <w:tcW w:type="dxa" w:w="2400"/>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Endpoint</w:t>
            </w:r>
          </w:p>
        </w:tc>
        <w:tc>
          <w:tcPr>
            <w:tcW w:type="dxa" w:w="1200"/>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Method</w:t>
            </w:r>
          </w:p>
        </w:tc>
        <w:tc>
          <w:tcPr>
            <w:tcW w:type="dxa" w:w="3120"/>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Path</w:t>
            </w:r>
          </w:p>
        </w:tc>
        <w:tc>
          <w:tcPr>
            <w:tcW w:type="dxa" w:w="2918"/>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What it returns</w:t>
            </w:r>
          </w:p>
        </w:tc>
      </w:tr>
      <w:tr>
        <w:trPr>
          <w:cantSplit/>
          <w:tblHeader w:val="false"/>
        </w:trPr>
        <w:tc>
          <w:tcPr>
            <w:tcW w:type="dxa" w:w="2400"/>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hyperlink w:history="1" r:id="rIdf0zyghcrjf8mmu0_qfdzm">
              <w:r>
                <w:t xml:space="preserve">Current conditions</w:t>
              </w:r>
            </w:hyperlink>
          </w:p>
        </w:tc>
        <w:tc>
          <w:tcPr>
            <w:tcW w:type="dxa" w:w="1200"/>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GET</w:t>
            </w:r>
          </w:p>
        </w:tc>
        <w:tc>
          <w:tcPr>
            <w:tcW w:type="dxa" w:w="3120"/>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/v1/weather/current</w:t>
            </w:r>
          </w:p>
        </w:tc>
        <w:tc>
          <w:tcPr>
            <w:tcW w:type="dxa" w:w="2918"/>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Returns the latest observation from one station.</w:t>
            </w:r>
          </w:p>
        </w:tc>
      </w:tr>
      <w:tr>
        <w:trPr>
          <w:cantSplit/>
          <w:tblHeader w:val="false"/>
        </w:trPr>
        <w:tc>
          <w:tcPr>
            <w:tcW w:type="dxa" w:w="2400"/>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hyperlink w:history="1" r:id="rIdax57edeeaibrcotmqdy_2">
              <w:r>
                <w:t xml:space="preserve">Hourly forecast</w:t>
              </w:r>
            </w:hyperlink>
          </w:p>
        </w:tc>
        <w:tc>
          <w:tcPr>
            <w:tcW w:type="dxa" w:w="1200"/>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GET</w:t>
            </w:r>
          </w:p>
        </w:tc>
        <w:tc>
          <w:tcPr>
            <w:tcW w:type="dxa" w:w="3120"/>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/v1/forecast/hourly</w:t>
            </w:r>
          </w:p>
        </w:tc>
        <w:tc>
          <w:tcPr>
            <w:tcW w:type="dxa" w:w="2918"/>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Returns up to 48 hourly forecast points for one station.</w:t>
            </w:r>
          </w:p>
        </w:tc>
      </w:tr>
      <w:tr>
        <w:trPr>
          <w:cantSplit/>
          <w:tblHeader w:val="false"/>
        </w:trPr>
        <w:tc>
          <w:tcPr>
            <w:tcW w:type="dxa" w:w="2400"/>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hyperlink w:history="1" r:id="rIdngnxhbaj7ogfqma7qi8_c">
              <w:r>
                <w:t xml:space="preserve">Daily forecast</w:t>
              </w:r>
            </w:hyperlink>
          </w:p>
        </w:tc>
        <w:tc>
          <w:tcPr>
            <w:tcW w:type="dxa" w:w="1200"/>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GET</w:t>
            </w:r>
          </w:p>
        </w:tc>
        <w:tc>
          <w:tcPr>
            <w:tcW w:type="dxa" w:w="3120"/>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/v1/forecast/daily</w:t>
            </w:r>
          </w:p>
        </w:tc>
        <w:tc>
          <w:tcPr>
            <w:tcW w:type="dxa" w:w="2918"/>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Returns one forecast summary per calendar day, up to seven days ahead.</w:t>
            </w:r>
          </w:p>
        </w:tc>
      </w:tr>
      <w:tr>
        <w:trPr>
          <w:cantSplit/>
          <w:tblHeader w:val="false"/>
        </w:trPr>
        <w:tc>
          <w:tcPr>
            <w:tcW w:type="dxa" w:w="2400"/>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hyperlink w:history="1" r:id="rId5ivuou4ebut5lp16jccxe">
              <w:r>
                <w:t xml:space="preserve">Observation history</w:t>
              </w:r>
            </w:hyperlink>
          </w:p>
        </w:tc>
        <w:tc>
          <w:tcPr>
            <w:tcW w:type="dxa" w:w="1200"/>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GET</w:t>
            </w:r>
          </w:p>
        </w:tc>
        <w:tc>
          <w:tcPr>
            <w:tcW w:type="dxa" w:w="3120"/>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/v1/weather/history</w:t>
            </w:r>
          </w:p>
        </w:tc>
        <w:tc>
          <w:tcPr>
            <w:tcW w:type="dxa" w:w="2918"/>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Returns past observations from one station in a time range, oldest first.</w:t>
            </w:r>
          </w:p>
        </w:tc>
      </w:tr>
      <w:tr>
        <w:trPr>
          <w:cantSplit/>
          <w:tblHeader w:val="false"/>
        </w:trPr>
        <w:tc>
          <w:tcPr>
            <w:tcW w:type="dxa" w:w="2400"/>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hyperlink w:history="1" r:id="rIdif9i5w-zgsghovie-6ntf">
              <w:r>
                <w:t xml:space="preserve">Station directory</w:t>
              </w:r>
            </w:hyperlink>
          </w:p>
        </w:tc>
        <w:tc>
          <w:tcPr>
            <w:tcW w:type="dxa" w:w="1200"/>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GET</w:t>
            </w:r>
          </w:p>
        </w:tc>
        <w:tc>
          <w:tcPr>
            <w:tcW w:type="dxa" w:w="3120"/>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/v1/stations</w:t>
            </w:r>
          </w:p>
        </w:tc>
        <w:tc>
          <w:tcPr>
            <w:tcW w:type="dxa" w:w="2918"/>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Lists the stations a key may read, with their location and status.</w:t>
            </w:r>
          </w:p>
        </w:tc>
      </w:tr>
      <w:tr>
        <w:trPr>
          <w:cantSplit/>
          <w:tblHeader w:val="false"/>
        </w:trPr>
        <w:tc>
          <w:tcPr>
            <w:tcW w:type="dxa" w:w="2400"/>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hyperlink w:history="1" r:id="rIdvfryffx8nwuqgb_erjlny">
              <w:r>
                <w:t xml:space="preserve">Station detail</w:t>
              </w:r>
            </w:hyperlink>
          </w:p>
        </w:tc>
        <w:tc>
          <w:tcPr>
            <w:tcW w:type="dxa" w:w="1200"/>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GET</w:t>
            </w:r>
          </w:p>
        </w:tc>
        <w:tc>
          <w:tcPr>
            <w:tcW w:type="dxa" w:w="3120"/>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/v1/stations/{code}</w:t>
            </w:r>
          </w:p>
        </w:tc>
        <w:tc>
          <w:tcPr>
            <w:tcW w:type="dxa" w:w="2918"/>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Returns one station's metadata, including its sensors and time zone.</w:t>
            </w:r>
          </w:p>
        </w:tc>
      </w:tr>
      <w:tr>
        <w:trPr>
          <w:cantSplit/>
          <w:tblHeader w:val="false"/>
        </w:trPr>
        <w:tc>
          <w:tcPr>
            <w:tcW w:type="dxa" w:w="2400"/>
            <w:gridSpan w:val="1"/>
            <w:tcBorders>
              <w:top w:val="none" w:color="auto" w:sz="0"/>
              <w:left w:val="none" w:color="auto" w:sz="0"/>
              <w:bottom w:val="none" w:color="auto" w:sz="0"/>
              <w:right w:val="none" w:color="auto" w:sz="0"/>
            </w:tcBorders>
            <w:tcMar>
              <w:top w:type="dxa" w:w="105"/>
              <w:left w:type="dxa" w:w="158"/>
              <w:bottom w:type="dxa" w:w="105"/>
              <w:right w:type="dxa" w:w="158"/>
            </w:tcMar>
            <w:vAlign w:val="top"/>
          </w:tcPr>
          <w:p>
            <w:pPr>
              <w:pStyle w:val="CudocTableCell"/>
              <w:overflowPunct/>
              <w:autoSpaceDN/>
            </w:pPr>
            <w:hyperlink w:history="1" r:id="rIdelu3toxbhcsvnaelrlapa">
              <w:r>
                <w:t xml:space="preserve">Weather alerts</w:t>
              </w:r>
            </w:hyperlink>
          </w:p>
        </w:tc>
        <w:tc>
          <w:tcPr>
            <w:tcW w:type="dxa" w:w="1200"/>
            <w:gridSpan w:val="1"/>
            <w:tcBorders>
              <w:top w:val="none" w:color="auto" w:sz="0"/>
              <w:left w:val="none" w:color="auto" w:sz="0"/>
              <w:bottom w:val="none" w:color="auto" w:sz="0"/>
              <w:right w:val="none" w:color="auto" w:sz="0"/>
            </w:tcBorders>
            <w:tcMar>
              <w:top w:type="dxa" w:w="105"/>
              <w:left w:type="dxa" w:w="158"/>
              <w:bottom w:type="dxa" w:w="105"/>
              <w:right w:type="dxa" w:w="158"/>
            </w:tcMar>
            <w:vAlign w:val="top"/>
          </w:tcPr>
          <w:p>
            <w:pPr>
              <w:pStyle w:val="CudocTableCell"/>
              <w:overflowPunct/>
              <w:autoSpaceDN/>
            </w:pPr>
            <w:r>
              <w:t xml:space="preserve">GET</w:t>
            </w:r>
          </w:p>
        </w:tc>
        <w:tc>
          <w:tcPr>
            <w:tcW w:type="dxa" w:w="3120"/>
            <w:gridSpan w:val="1"/>
            <w:tcBorders>
              <w:top w:val="none" w:color="auto" w:sz="0"/>
              <w:left w:val="none" w:color="auto" w:sz="0"/>
              <w:bottom w:val="none" w:color="auto" w:sz="0"/>
              <w:right w:val="none" w:color="auto" w:sz="0"/>
            </w:tcBorders>
            <w:tcMar>
              <w:top w:type="dxa" w:w="105"/>
              <w:left w:type="dxa" w:w="158"/>
              <w:bottom w:type="dxa" w:w="105"/>
              <w:right w:type="dxa" w:w="158"/>
            </w:tcMar>
            <w:vAlign w:val="top"/>
          </w:tcPr>
          <w:p>
            <w:pPr>
              <w:pStyle w:val="CudocTableCell"/>
              <w:overflowPunct/>
              <w:autoSpaceDN/>
            </w:pPr>
            <w:r>
              <w:t xml:space="preserve">/v1/alerts</w:t>
            </w:r>
          </w:p>
        </w:tc>
        <w:tc>
          <w:tcPr>
            <w:tcW w:type="dxa" w:w="2918"/>
            <w:gridSpan w:val="1"/>
            <w:tcBorders>
              <w:top w:val="none" w:color="auto" w:sz="0"/>
              <w:left w:val="none" w:color="auto" w:sz="0"/>
              <w:bottom w:val="none" w:color="auto" w:sz="0"/>
              <w:right w:val="none" w:color="auto" w:sz="0"/>
            </w:tcBorders>
            <w:tcMar>
              <w:top w:type="dxa" w:w="105"/>
              <w:left w:type="dxa" w:w="158"/>
              <w:bottom w:type="dxa" w:w="105"/>
              <w:right w:type="dxa" w:w="158"/>
            </w:tcMar>
            <w:vAlign w:val="top"/>
          </w:tcPr>
          <w:p>
            <w:pPr>
              <w:pStyle w:val="CudocTableCell"/>
              <w:overflowPunct/>
              <w:autoSpaceDN/>
            </w:pPr>
            <w:r>
              <w:t xml:space="preserve">Lists active severe-weather alerts for a region, relayed from the national service.</w:t>
            </w:r>
          </w:p>
        </w:tc>
      </w:tr>
    </w:tbl>
    <w:p>
      <w:pPr>
        <w:pStyle w:val="Heading2"/>
        <w:overflowPunct/>
        <w:autoSpaceDN/>
      </w:pPr>
      <w:bookmarkStart w:name="cudocrfaMqdQAnodcI2QlBLlVrclTAz" w:id="5"/>
      <w:r>
        <w:t xml:space="preserve">Concepts</w:t>
      </w:r>
      <w:bookmarkEnd w:id="5"/>
    </w:p>
    <w:p>
      <w:pPr>
        <w:pStyle w:val="Heading3"/>
        <w:overflowPunct/>
        <w:autoSpaceDN/>
      </w:pPr>
      <w:bookmarkStart w:name="cudoclOxGs5WfsgB3pUh2zsloIYMGI7" w:id="6"/>
      <w:r>
        <w:t xml:space="preserve">Stations and station codes</w:t>
      </w:r>
      <w:bookmarkEnd w:id="6"/>
    </w:p>
    <w:p>
      <w:pPr>
        <w:pStyle w:val="CudocBody"/>
        <w:overflowPunct/>
        <w:autoSpaceDN/>
      </w:pPr>
      <w:r>
        <w:t xml:space="preserve">A station is one physical site with a fixed set of sensors. Every station has a code of the form </w:t>
      </w:r>
      <w:r>
        <w:rPr>
          <w:rStyle w:val="CudocCode"/>
        </w:rPr>
        <w:t xml:space="preserve">SITE-NN</w:t>
      </w:r>
      <w:r>
        <w:t xml:space="preserve">: a three-letter site code and a two-digit sequence number, so a site with several masts has </w:t>
      </w:r>
      <w:r>
        <w:rPr>
          <w:rStyle w:val="CudocCode"/>
        </w:rPr>
        <w:t xml:space="preserve">BGO-01</w:t>
      </w:r>
      <w:r>
        <w:t xml:space="preserve">, </w:t>
      </w:r>
      <w:r>
        <w:rPr>
          <w:rStyle w:val="CudocCode"/>
        </w:rPr>
        <w:t xml:space="preserve">BGO-02</w:t>
      </w:r>
      <w:r>
        <w:t xml:space="preserve"> and so on. Codes never change and are never reused; a station that stops reporting for good is marked </w:t>
      </w:r>
      <w:r>
        <w:rPr>
          <w:rStyle w:val="CudocCode"/>
        </w:rPr>
        <w:t xml:space="preserve">retired</w:t>
      </w:r>
      <w:r>
        <w:t xml:space="preserve"> and keeps its code.</w:t>
      </w:r>
    </w:p>
    <w:tbl>
      <w:tblPr>
        <w:tblW w:type="pct" w:w="100%"/>
        <w:tblBorders>
          <w:top w:val="single" w:color="E2E8F0" w:sz="4"/>
          <w:left w:val="none" w:color="auto" w:sz="0"/>
          <w:bottom w:val="single" w:color="E2E8F0" w:sz="4"/>
          <w:right w:val="none" w:color="auto" w:sz="0"/>
          <w:insideH w:val="none" w:color="auto" w:sz="0"/>
          <w:insideV w:val="none" w:color="auto" w:sz="0"/>
        </w:tblBorders>
      </w:tblPr>
      <w:tblGrid>
        <w:gridCol w:w="2409"/>
        <w:gridCol w:w="2409"/>
        <w:gridCol w:w="2409"/>
        <w:gridCol w:w="2409"/>
      </w:tblGrid>
      <w:tr>
        <w:trPr>
          <w:cantSplit/>
          <w:tblHeader/>
        </w:trPr>
        <w:tc>
          <w:tcPr>
            <w:tcW w:type="dxa" w:w="2409"/>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Code</w:t>
            </w:r>
          </w:p>
        </w:tc>
        <w:tc>
          <w:tcPr>
            <w:tcW w:type="dxa" w:w="2409"/>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Site</w:t>
            </w:r>
          </w:p>
        </w:tc>
        <w:tc>
          <w:tcPr>
            <w:tcW w:type="dxa" w:w="2409"/>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Elevation</w:t>
            </w:r>
          </w:p>
        </w:tc>
        <w:tc>
          <w:tcPr>
            <w:tcW w:type="dxa" w:w="2409"/>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Status</w:t>
            </w:r>
          </w:p>
        </w:tc>
      </w:tr>
      <w:tr>
        <w:trPr>
          <w:cantSplit/>
          <w:tblHeader w:val="false"/>
        </w:trPr>
        <w:tc>
          <w:tcPr>
            <w:tcW w:type="dxa" w:w="2409"/>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rPr>
                <w:rStyle w:val="CudocCode"/>
              </w:rPr>
              <w:t xml:space="preserve">OSL-01</w:t>
            </w:r>
          </w:p>
        </w:tc>
        <w:tc>
          <w:tcPr>
            <w:tcW w:type="dxa" w:w="2409"/>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Oslo</w:t>
            </w:r>
          </w:p>
        </w:tc>
        <w:tc>
          <w:tcPr>
            <w:tcW w:type="dxa" w:w="2409"/>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94 m</w:t>
            </w:r>
          </w:p>
        </w:tc>
        <w:tc>
          <w:tcPr>
            <w:tcW w:type="dxa" w:w="2409"/>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rPr>
                <w:rStyle w:val="CudocCode"/>
              </w:rPr>
              <w:t xml:space="preserve">active</w:t>
            </w:r>
          </w:p>
        </w:tc>
      </w:tr>
      <w:tr>
        <w:trPr>
          <w:cantSplit/>
          <w:tblHeader w:val="false"/>
        </w:trPr>
        <w:tc>
          <w:tcPr>
            <w:tcW w:type="dxa" w:w="2409"/>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rPr>
                <w:rStyle w:val="CudocCode"/>
              </w:rPr>
              <w:t xml:space="preserve">BGO-01</w:t>
            </w:r>
          </w:p>
        </w:tc>
        <w:tc>
          <w:tcPr>
            <w:tcW w:type="dxa" w:w="2409"/>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Bergen</w:t>
            </w:r>
          </w:p>
        </w:tc>
        <w:tc>
          <w:tcPr>
            <w:tcW w:type="dxa" w:w="2409"/>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12 m</w:t>
            </w:r>
          </w:p>
        </w:tc>
        <w:tc>
          <w:tcPr>
            <w:tcW w:type="dxa" w:w="2409"/>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rPr>
                <w:rStyle w:val="CudocCode"/>
              </w:rPr>
              <w:t xml:space="preserve">active</w:t>
            </w:r>
          </w:p>
        </w:tc>
      </w:tr>
      <w:tr>
        <w:trPr>
          <w:cantSplit/>
          <w:tblHeader w:val="false"/>
        </w:trPr>
        <w:tc>
          <w:tcPr>
            <w:tcW w:type="dxa" w:w="2409"/>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rPr>
                <w:rStyle w:val="CudocCode"/>
              </w:rPr>
              <w:t xml:space="preserve">BGO-02</w:t>
            </w:r>
          </w:p>
        </w:tc>
        <w:tc>
          <w:tcPr>
            <w:tcW w:type="dxa" w:w="2409"/>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Bergen</w:t>
            </w:r>
          </w:p>
        </w:tc>
        <w:tc>
          <w:tcPr>
            <w:tcW w:type="dxa" w:w="2409"/>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320 m</w:t>
            </w:r>
          </w:p>
        </w:tc>
        <w:tc>
          <w:tcPr>
            <w:tcW w:type="dxa" w:w="2409"/>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rPr>
                <w:rStyle w:val="CudocCode"/>
              </w:rPr>
              <w:t xml:space="preserve">maintenance</w:t>
            </w:r>
          </w:p>
        </w:tc>
      </w:tr>
      <w:tr>
        <w:trPr>
          <w:cantSplit/>
          <w:tblHeader w:val="false"/>
        </w:trPr>
        <w:tc>
          <w:tcPr>
            <w:tcW w:type="dxa" w:w="2409"/>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rPr>
                <w:rStyle w:val="CudocCode"/>
              </w:rPr>
              <w:t xml:space="preserve">TRD-01</w:t>
            </w:r>
          </w:p>
        </w:tc>
        <w:tc>
          <w:tcPr>
            <w:tcW w:type="dxa" w:w="2409"/>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Trondheim</w:t>
            </w:r>
          </w:p>
        </w:tc>
        <w:tc>
          <w:tcPr>
            <w:tcW w:type="dxa" w:w="2409"/>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8 m</w:t>
            </w:r>
          </w:p>
        </w:tc>
        <w:tc>
          <w:tcPr>
            <w:tcW w:type="dxa" w:w="2409"/>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rPr>
                <w:rStyle w:val="CudocCode"/>
              </w:rPr>
              <w:t xml:space="preserve">active</w:t>
            </w:r>
          </w:p>
        </w:tc>
      </w:tr>
      <w:tr>
        <w:trPr>
          <w:cantSplit/>
          <w:tblHeader w:val="false"/>
        </w:trPr>
        <w:tc>
          <w:tcPr>
            <w:tcW w:type="dxa" w:w="2409"/>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rPr>
                <w:rStyle w:val="CudocCode"/>
              </w:rPr>
              <w:t xml:space="preserve">TOS-01</w:t>
            </w:r>
          </w:p>
        </w:tc>
        <w:tc>
          <w:tcPr>
            <w:tcW w:type="dxa" w:w="2409"/>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Tromsø</w:t>
            </w:r>
          </w:p>
        </w:tc>
        <w:tc>
          <w:tcPr>
            <w:tcW w:type="dxa" w:w="2409"/>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100 m</w:t>
            </w:r>
          </w:p>
        </w:tc>
        <w:tc>
          <w:tcPr>
            <w:tcW w:type="dxa" w:w="2409"/>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rPr>
                <w:rStyle w:val="CudocCode"/>
              </w:rPr>
              <w:t xml:space="preserve">active</w:t>
            </w:r>
          </w:p>
        </w:tc>
      </w:tr>
      <w:tr>
        <w:trPr>
          <w:cantSplit/>
          <w:tblHeader w:val="false"/>
        </w:trPr>
        <w:tc>
          <w:tcPr>
            <w:tcW w:type="dxa" w:w="2409"/>
            <w:gridSpan w:val="1"/>
            <w:tcBorders>
              <w:top w:val="none" w:color="auto" w:sz="0"/>
              <w:left w:val="none" w:color="auto" w:sz="0"/>
              <w:bottom w:val="none" w:color="auto" w:sz="0"/>
              <w:right w:val="none" w:color="auto" w:sz="0"/>
            </w:tcBorders>
            <w:shd w:fill="FAFBFD" w:val="clear"/>
            <w:tcMar>
              <w:top w:type="dxa" w:w="105"/>
              <w:left w:type="dxa" w:w="158"/>
              <w:bottom w:type="dxa" w:w="105"/>
              <w:right w:type="dxa" w:w="158"/>
            </w:tcMar>
            <w:vAlign w:val="top"/>
          </w:tcPr>
          <w:p>
            <w:pPr>
              <w:pStyle w:val="CudocTableCell"/>
              <w:overflowPunct/>
              <w:autoSpaceDN/>
            </w:pPr>
            <w:r>
              <w:rPr>
                <w:rStyle w:val="CudocCode"/>
              </w:rPr>
              <w:t xml:space="preserve">SVG-01</w:t>
            </w:r>
          </w:p>
        </w:tc>
        <w:tc>
          <w:tcPr>
            <w:tcW w:type="dxa" w:w="2409"/>
            <w:gridSpan w:val="1"/>
            <w:tcBorders>
              <w:top w:val="none" w:color="auto" w:sz="0"/>
              <w:left w:val="none" w:color="auto" w:sz="0"/>
              <w:bottom w:val="none" w:color="auto" w:sz="0"/>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Stavanger</w:t>
            </w:r>
          </w:p>
        </w:tc>
        <w:tc>
          <w:tcPr>
            <w:tcW w:type="dxa" w:w="2409"/>
            <w:gridSpan w:val="1"/>
            <w:tcBorders>
              <w:top w:val="none" w:color="auto" w:sz="0"/>
              <w:left w:val="none" w:color="auto" w:sz="0"/>
              <w:bottom w:val="none" w:color="auto" w:sz="0"/>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4 m</w:t>
            </w:r>
          </w:p>
        </w:tc>
        <w:tc>
          <w:tcPr>
            <w:tcW w:type="dxa" w:w="2409"/>
            <w:gridSpan w:val="1"/>
            <w:tcBorders>
              <w:top w:val="none" w:color="auto" w:sz="0"/>
              <w:left w:val="none" w:color="auto" w:sz="0"/>
              <w:bottom w:val="none" w:color="auto" w:sz="0"/>
              <w:right w:val="none" w:color="auto" w:sz="0"/>
            </w:tcBorders>
            <w:shd w:fill="FAFBFD" w:val="clear"/>
            <w:tcMar>
              <w:top w:type="dxa" w:w="105"/>
              <w:left w:type="dxa" w:w="158"/>
              <w:bottom w:type="dxa" w:w="105"/>
              <w:right w:type="dxa" w:w="158"/>
            </w:tcMar>
            <w:vAlign w:val="top"/>
          </w:tcPr>
          <w:p>
            <w:pPr>
              <w:pStyle w:val="CudocTableCell"/>
              <w:overflowPunct/>
              <w:autoSpaceDN/>
            </w:pPr>
            <w:r>
              <w:rPr>
                <w:rStyle w:val="CudocCode"/>
              </w:rPr>
              <w:t xml:space="preserve">retired</w:t>
            </w:r>
          </w:p>
        </w:tc>
      </w:tr>
    </w:tbl>
    <w:p>
      <w:pPr>
        <w:pStyle w:val="CudocBody"/>
        <w:overflowPunct/>
        <w:spacing w:before="210"/>
        <w:autoSpaceDN/>
      </w:pPr>
      <w:r>
        <w:t xml:space="preserve">The list above is illustrative; the </w:t>
      </w:r>
      <w:hyperlink w:history="1" r:id="rIduplvpj25lvkw2t6ciaca2">
        <w:r>
          <w:t xml:space="preserve">station directory</w:t>
        </w:r>
      </w:hyperlink>
      <w:r>
        <w:t xml:space="preserve"> is the source of truth for the stations a key may read.</w:t>
      </w:r>
    </w:p>
    <w:p>
      <w:pPr>
        <w:pStyle w:val="Heading3"/>
        <w:overflowPunct/>
        <w:autoSpaceDN/>
      </w:pPr>
      <w:bookmarkStart w:name="cudocwR0aPfirFcMJqCGKsU3j9ZLn61" w:id="7"/>
      <w:r>
        <w:t xml:space="preserve">Observations and forecasts</w:t>
      </w:r>
      <w:bookmarkEnd w:id="7"/>
    </w:p>
    <w:p>
      <w:pPr>
        <w:pStyle w:val="CudocBody"/>
        <w:overflowPunct/>
        <w:autoSpaceDN/>
      </w:pPr>
      <w:r>
        <w:t xml:space="preserve">An observation is a reading a station actually made, stamped with the instant it was made. A forecast point is the model's expectation for a future instant, stamped with that instant and with the model run that produced it. The two are never mixed in one response: the current-conditions and history endpoints return observations, and the forecast endpoints return forecast points.</w:t>
      </w:r>
    </w:p>
    <w:p>
      <w:pPr>
        <w:pStyle w:val="Heading3"/>
        <w:overflowPunct/>
        <w:autoSpaceDN/>
      </w:pPr>
      <w:bookmarkStart w:name="cudoc3taNvqgfoSmACsG8mNdxbilJau" w:id="8"/>
      <w:r>
        <w:t xml:space="preserve">Units</w:t>
      </w:r>
      <w:bookmarkEnd w:id="8"/>
    </w:p>
    <w:p>
      <w:pPr>
        <w:pStyle w:val="CudocBody"/>
        <w:overflowPunct/>
        <w:autoSpaceDN/>
      </w:pPr>
      <w:r>
        <w:t xml:space="preserve">Every numeric field is returned in metric units unless the request asks for </w:t>
      </w:r>
      <w:r>
        <w:rPr>
          <w:rStyle w:val="CudocCode"/>
        </w:rPr>
        <w:t xml:space="preserve">units=imperial</w:t>
      </w:r>
      <w:r>
        <w:t xml:space="preserve">. Field names do not change with the unit system; only the values and the </w:t>
      </w:r>
      <w:r>
        <w:rPr>
          <w:rStyle w:val="CudocCode"/>
        </w:rPr>
        <w:t xml:space="preserve">units</w:t>
      </w:r>
      <w:r>
        <w:t xml:space="preserve"> object in the response do, so a client can always read the unit next to the value instead of assuming it.</w:t>
      </w:r>
    </w:p>
    <w:tbl>
      <w:tblPr>
        <w:tblW w:type="pct" w:w="100%"/>
        <w:tblBorders>
          <w:top w:val="single" w:color="E2E8F0" w:sz="4"/>
          <w:left w:val="none" w:color="auto" w:sz="0"/>
          <w:bottom w:val="single" w:color="E2E8F0" w:sz="4"/>
          <w:right w:val="none" w:color="auto" w:sz="0"/>
          <w:insideH w:val="none" w:color="auto" w:sz="0"/>
          <w:insideV w:val="none" w:color="auto" w:sz="0"/>
        </w:tblBorders>
      </w:tblPr>
      <w:tblGrid>
        <w:gridCol w:w="3212"/>
        <w:gridCol w:w="3212"/>
        <w:gridCol w:w="3212"/>
      </w:tblGrid>
      <w:tr>
        <w:trPr>
          <w:cantSplit/>
          <w:tblHeader/>
        </w:trPr>
        <w:tc>
          <w:tcPr>
            <w:tcW w:type="dxa" w:w="3212"/>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Field</w:t>
            </w:r>
          </w:p>
        </w:tc>
        <w:tc>
          <w:tcPr>
            <w:tcW w:type="dxa" w:w="3212"/>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Metric</w:t>
            </w:r>
          </w:p>
        </w:tc>
        <w:tc>
          <w:tcPr>
            <w:tcW w:type="dxa" w:w="3212"/>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Imperial</w:t>
            </w:r>
          </w:p>
        </w:tc>
      </w:tr>
      <w:tr>
        <w:trPr>
          <w:cantSplit/>
          <w:tblHeader w:val="false"/>
        </w:trPr>
        <w:tc>
          <w:tcPr>
            <w:tcW w:type="dxa" w:w="3212"/>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rPr>
                <w:rStyle w:val="CudocCode"/>
              </w:rPr>
              <w:t xml:space="preserve">temperature</w:t>
            </w:r>
          </w:p>
        </w:tc>
        <w:tc>
          <w:tcPr>
            <w:tcW w:type="dxa" w:w="3212"/>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°C</w:t>
            </w:r>
          </w:p>
        </w:tc>
        <w:tc>
          <w:tcPr>
            <w:tcW w:type="dxa" w:w="3212"/>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°F</w:t>
            </w:r>
          </w:p>
        </w:tc>
      </w:tr>
      <w:tr>
        <w:trPr>
          <w:cantSplit/>
          <w:tblHeader w:val="false"/>
        </w:trPr>
        <w:tc>
          <w:tcPr>
            <w:tcW w:type="dxa" w:w="3212"/>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rPr>
                <w:rStyle w:val="CudocCode"/>
              </w:rPr>
              <w:t xml:space="preserve">windSpeed</w:t>
            </w:r>
          </w:p>
        </w:tc>
        <w:tc>
          <w:tcPr>
            <w:tcW w:type="dxa" w:w="3212"/>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m/s</w:t>
            </w:r>
          </w:p>
        </w:tc>
        <w:tc>
          <w:tcPr>
            <w:tcW w:type="dxa" w:w="3212"/>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mph</w:t>
            </w:r>
          </w:p>
        </w:tc>
      </w:tr>
      <w:tr>
        <w:trPr>
          <w:cantSplit/>
          <w:tblHeader w:val="false"/>
        </w:trPr>
        <w:tc>
          <w:tcPr>
            <w:tcW w:type="dxa" w:w="3212"/>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rPr>
                <w:rStyle w:val="CudocCode"/>
              </w:rPr>
              <w:t xml:space="preserve">pressure</w:t>
            </w:r>
          </w:p>
        </w:tc>
        <w:tc>
          <w:tcPr>
            <w:tcW w:type="dxa" w:w="3212"/>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hPa</w:t>
            </w:r>
          </w:p>
        </w:tc>
        <w:tc>
          <w:tcPr>
            <w:tcW w:type="dxa" w:w="3212"/>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inHg</w:t>
            </w:r>
          </w:p>
        </w:tc>
      </w:tr>
      <w:tr>
        <w:trPr>
          <w:cantSplit/>
          <w:tblHeader w:val="false"/>
        </w:trPr>
        <w:tc>
          <w:tcPr>
            <w:tcW w:type="dxa" w:w="3212"/>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rPr>
                <w:rStyle w:val="CudocCode"/>
              </w:rPr>
              <w:t xml:space="preserve">precipitation</w:t>
            </w:r>
          </w:p>
        </w:tc>
        <w:tc>
          <w:tcPr>
            <w:tcW w:type="dxa" w:w="3212"/>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mm</w:t>
            </w:r>
          </w:p>
        </w:tc>
        <w:tc>
          <w:tcPr>
            <w:tcW w:type="dxa" w:w="3212"/>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in</w:t>
            </w:r>
          </w:p>
        </w:tc>
      </w:tr>
      <w:tr>
        <w:trPr>
          <w:cantSplit/>
          <w:tblHeader w:val="false"/>
        </w:trPr>
        <w:tc>
          <w:tcPr>
            <w:tcW w:type="dxa" w:w="3212"/>
            <w:gridSpan w:val="1"/>
            <w:tcBorders>
              <w:top w:val="none" w:color="auto" w:sz="0"/>
              <w:left w:val="none" w:color="auto" w:sz="0"/>
              <w:bottom w:val="none" w:color="auto" w:sz="0"/>
              <w:right w:val="none" w:color="auto" w:sz="0"/>
            </w:tcBorders>
            <w:tcMar>
              <w:top w:type="dxa" w:w="105"/>
              <w:left w:type="dxa" w:w="158"/>
              <w:bottom w:type="dxa" w:w="105"/>
              <w:right w:type="dxa" w:w="158"/>
            </w:tcMar>
            <w:vAlign w:val="top"/>
          </w:tcPr>
          <w:p>
            <w:pPr>
              <w:pStyle w:val="CudocTableCell"/>
              <w:overflowPunct/>
              <w:autoSpaceDN/>
            </w:pPr>
            <w:r>
              <w:rPr>
                <w:rStyle w:val="CudocCode"/>
              </w:rPr>
              <w:t xml:space="preserve">visibility</w:t>
            </w:r>
          </w:p>
        </w:tc>
        <w:tc>
          <w:tcPr>
            <w:tcW w:type="dxa" w:w="3212"/>
            <w:gridSpan w:val="1"/>
            <w:tcBorders>
              <w:top w:val="none" w:color="auto" w:sz="0"/>
              <w:left w:val="none" w:color="auto" w:sz="0"/>
              <w:bottom w:val="none" w:color="auto" w:sz="0"/>
              <w:right w:val="none" w:color="auto" w:sz="0"/>
            </w:tcBorders>
            <w:tcMar>
              <w:top w:type="dxa" w:w="105"/>
              <w:left w:type="dxa" w:w="158"/>
              <w:bottom w:type="dxa" w:w="105"/>
              <w:right w:type="dxa" w:w="158"/>
            </w:tcMar>
            <w:vAlign w:val="top"/>
          </w:tcPr>
          <w:p>
            <w:pPr>
              <w:pStyle w:val="CudocTableCell"/>
              <w:overflowPunct/>
              <w:autoSpaceDN/>
            </w:pPr>
            <w:r>
              <w:t xml:space="preserve">km</w:t>
            </w:r>
          </w:p>
        </w:tc>
        <w:tc>
          <w:tcPr>
            <w:tcW w:type="dxa" w:w="3212"/>
            <w:gridSpan w:val="1"/>
            <w:tcBorders>
              <w:top w:val="none" w:color="auto" w:sz="0"/>
              <w:left w:val="none" w:color="auto" w:sz="0"/>
              <w:bottom w:val="none" w:color="auto" w:sz="0"/>
              <w:right w:val="none" w:color="auto" w:sz="0"/>
            </w:tcBorders>
            <w:tcMar>
              <w:top w:type="dxa" w:w="105"/>
              <w:left w:type="dxa" w:w="158"/>
              <w:bottom w:type="dxa" w:w="105"/>
              <w:right w:type="dxa" w:w="158"/>
            </w:tcMar>
            <w:vAlign w:val="top"/>
          </w:tcPr>
          <w:p>
            <w:pPr>
              <w:pStyle w:val="CudocTableCell"/>
              <w:overflowPunct/>
              <w:autoSpaceDN/>
            </w:pPr>
            <w:r>
              <w:t xml:space="preserve">mi</w:t>
            </w:r>
          </w:p>
        </w:tc>
      </w:tr>
    </w:tbl>
    <w:p>
      <w:pPr>
        <w:pStyle w:val="Heading3"/>
        <w:overflowPunct/>
        <w:autoSpaceDN/>
      </w:pPr>
      <w:bookmarkStart w:name="cudoc1DCdsYejpY9ef3YY0KNnbqi0Vl" w:id="9"/>
      <w:r>
        <w:t xml:space="preserve">Timestamps</w:t>
      </w:r>
      <w:bookmarkEnd w:id="9"/>
    </w:p>
    <w:p>
      <w:pPr>
        <w:pStyle w:val="CudocBody"/>
        <w:overflowPunct/>
        <w:autoSpaceDN/>
      </w:pPr>
      <w:r>
        <w:t xml:space="preserve">Every instant is ISO 8601 in UTC with a </w:t>
      </w:r>
      <w:r>
        <w:rPr>
          <w:rStyle w:val="CudocCode"/>
        </w:rPr>
        <w:t xml:space="preserve">Z</w:t>
      </w:r>
      <w:r>
        <w:t xml:space="preserve"> suffix: </w:t>
      </w:r>
      <w:r>
        <w:rPr>
          <w:rStyle w:val="CudocCode"/>
        </w:rPr>
        <w:t xml:space="preserve">observedAt</w:t>
      </w:r>
      <w:r>
        <w:t xml:space="preserve"> on an observation, </w:t>
      </w:r>
      <w:r>
        <w:rPr>
          <w:rStyle w:val="CudocCode"/>
        </w:rPr>
        <w:t xml:space="preserve">validAt</w:t>
      </w:r>
      <w:r>
        <w:t xml:space="preserve"> and </w:t>
      </w:r>
      <w:r>
        <w:rPr>
          <w:rStyle w:val="CudocCode"/>
        </w:rPr>
        <w:t xml:space="preserve">issuedAt</w:t>
      </w:r>
      <w:r>
        <w:t xml:space="preserve"> on a forecast, </w:t>
      </w:r>
      <w:r>
        <w:rPr>
          <w:rStyle w:val="CudocCode"/>
        </w:rPr>
        <w:t xml:space="preserve">lastObservedAt</w:t>
      </w:r>
      <w:r>
        <w:t xml:space="preserve"> on a station. Converting to local time is the client's job; a station's IANA time zone is in its </w:t>
      </w:r>
      <w:hyperlink w:history="1" r:id="rIdxqklslhbcyl2hmoux9ozo">
        <w:r>
          <w:t xml:space="preserve">detail record</w:t>
        </w:r>
      </w:hyperlink>
      <w:r>
        <w:t xml:space="preserve"> so the conversion can be exact.</w:t>
      </w:r>
    </w:p>
    <w:p>
      <w:pPr>
        <w:pStyle w:val="Heading3"/>
        <w:overflowPunct/>
        <w:autoSpaceDN/>
      </w:pPr>
      <w:bookmarkStart w:name="cudocsYDbd0RyaFPuoQSKOOFyIgr2kS" w:id="10"/>
      <w:r>
        <w:t xml:space="preserve">Versioning</w:t>
      </w:r>
      <w:bookmarkEnd w:id="10"/>
    </w:p>
    <w:p>
      <w:pPr>
        <w:pStyle w:val="CudocBody"/>
        <w:overflowPunct/>
        <w:autoSpaceDN/>
      </w:pPr>
      <w:r>
        <w:t xml:space="preserve">The path prefix </w:t>
      </w:r>
      <w:r>
        <w:rPr>
          <w:rStyle w:val="CudocCode"/>
        </w:rPr>
        <w:t xml:space="preserve">/v1</w:t>
      </w:r>
      <w:r>
        <w:t xml:space="preserve"> names the version. Additive changes, such as a new field, a new optional parameter or a new endpoint, ship within </w:t>
      </w:r>
      <w:r>
        <w:rPr>
          <w:rStyle w:val="CudocCode"/>
        </w:rPr>
        <w:t xml:space="preserve">/v1</w:t>
      </w:r>
      <w:r>
        <w:t xml:space="preserve"> without notice, so a client must ignore fields it does not know. Any change to an existing shape is announced in the </w:t>
      </w:r>
      <w:hyperlink w:history="1" r:id="rId8tktxytqpnaees9uk350w">
        <w:r>
          <w:t xml:space="preserve">release notes</w:t>
        </w:r>
      </w:hyperlink>
      <w:r>
        <w:t xml:space="preserve"> at least ninety days before it takes effect, and the previous behaviour stays available for that period.</w:t>
      </w:r>
    </w:p>
    <w:p>
      <w:pPr>
        <w:pStyle w:val="Heading2"/>
        <w:overflowPunct/>
        <w:autoSpaceDN/>
      </w:pPr>
      <w:bookmarkStart w:name="cudocBnhBK6eLAKdseG3HbP9Dffzuyf" w:id="11"/>
      <w:r>
        <w:t xml:space="preserve">Conventions</w:t>
      </w:r>
      <w:bookmarkEnd w:id="11"/>
    </w:p>
    <w:p>
      <w:pPr>
        <w:pStyle w:val="CudocBody"/>
        <w:overflowPunct/>
        <w:autoSpaceDN/>
      </w:pPr>
      <w:r>
        <w:t xml:space="preserve">The handbook uses a small set of marks, and each means the same thing in the site, the PDF and the Word file.</w:t>
      </w:r>
    </w:p>
    <w:tbl>
      <w:tblPr>
        <w:tblW w:type="pct" w:w="100%"/>
        <w:tblBorders>
          <w:top w:val="single" w:color="E2E8F0" w:sz="4"/>
          <w:left w:val="none" w:color="auto" w:sz="0"/>
          <w:bottom w:val="single" w:color="E2E8F0" w:sz="4"/>
          <w:right w:val="none" w:color="auto" w:sz="0"/>
          <w:insideH w:val="none" w:color="auto" w:sz="0"/>
          <w:insideV w:val="none" w:color="auto" w:sz="0"/>
        </w:tblBorders>
      </w:tblPr>
      <w:tblGrid>
        <w:gridCol w:w="5798"/>
        <w:gridCol w:w="3840"/>
      </w:tblGrid>
      <w:tr>
        <w:trPr>
          <w:cantSplit/>
          <w:tblHeader/>
        </w:trPr>
        <w:tc>
          <w:tcPr>
            <w:tcW w:type="dxa" w:w="5798"/>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Mark</w:t>
            </w:r>
          </w:p>
        </w:tc>
        <w:tc>
          <w:tcPr>
            <w:tcW w:type="dxa" w:w="3840"/>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Meaning</w:t>
            </w:r>
          </w:p>
        </w:tc>
      </w:tr>
      <w:tr>
        <w:trPr>
          <w:cantSplit/>
          <w:tblHeader w:val="false"/>
        </w:trPr>
        <w:tc>
          <w:tcPr>
            <w:tcW w:type="dxa" w:w="5798"/>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A </w:t>
            </w:r>
            <w:r>
              <w:rPr>
                <w:rStyle w:val="CudocCode"/>
              </w:rPr>
              <w:t xml:space="preserve">New</w:t>
            </w:r>
            <w:r>
              <w:t xml:space="preserve">, </w:t>
            </w:r>
            <w:r>
              <w:rPr>
                <w:rStyle w:val="CudocCode"/>
              </w:rPr>
              <w:t xml:space="preserve">Beta</w:t>
            </w:r>
            <w:r>
              <w:t xml:space="preserve"> or </w:t>
            </w:r>
            <w:r>
              <w:rPr>
                <w:rStyle w:val="CudocCode"/>
              </w:rPr>
              <w:t xml:space="preserve">Latest</w:t>
            </w:r>
            <w:r>
              <w:t xml:space="preserve"> badge after a heading</w:t>
            </w:r>
          </w:p>
        </w:tc>
        <w:tc>
          <w:tcPr>
            <w:tcW w:type="dxa" w:w="3840"/>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The section was added in the latest release, is in beta and may change on thirty days' notice, or describes the newest release.</w:t>
            </w:r>
          </w:p>
        </w:tc>
      </w:tr>
      <w:tr>
        <w:trPr>
          <w:cantSplit/>
          <w:tblHeader w:val="false"/>
        </w:trPr>
        <w:tc>
          <w:tcPr>
            <w:tcW w:type="dxa" w:w="5798"/>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A </w:t>
            </w:r>
            <w:r>
              <w:rPr>
                <w:b/>
                <w:bCs/>
              </w:rPr>
              <w:t xml:space="preserve">Note</w:t>
            </w:r>
            <w:r>
              <w:t xml:space="preserve"> or </w:t>
            </w:r>
            <w:r>
              <w:rPr>
                <w:b/>
                <w:bCs/>
              </w:rPr>
              <w:t xml:space="preserve">Tip</w:t>
            </w:r>
            <w:r>
              <w:t xml:space="preserve"> box</w:t>
            </w:r>
          </w:p>
        </w:tc>
        <w:tc>
          <w:tcPr>
            <w:tcW w:type="dxa" w:w="3840"/>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Background or a shortcut; skipping it costs nothing.</w:t>
            </w:r>
          </w:p>
        </w:tc>
      </w:tr>
      <w:tr>
        <w:trPr>
          <w:cantSplit/>
          <w:tblHeader w:val="false"/>
        </w:trPr>
        <w:tc>
          <w:tcPr>
            <w:tcW w:type="dxa" w:w="5798"/>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An </w:t>
            </w:r>
            <w:r>
              <w:rPr>
                <w:b/>
                <w:bCs/>
              </w:rPr>
              <w:t xml:space="preserve">Important</w:t>
            </w:r>
            <w:r>
              <w:t xml:space="preserve">, </w:t>
            </w:r>
            <w:r>
              <w:rPr>
                <w:b/>
                <w:bCs/>
              </w:rPr>
              <w:t xml:space="preserve">Warning</w:t>
            </w:r>
            <w:r>
              <w:t xml:space="preserve"> or </w:t>
            </w:r>
            <w:r>
              <w:rPr>
                <w:b/>
                <w:bCs/>
              </w:rPr>
              <w:t xml:space="preserve">Caution</w:t>
            </w:r>
            <w:r>
              <w:t xml:space="preserve"> box</w:t>
            </w:r>
          </w:p>
        </w:tc>
        <w:tc>
          <w:tcPr>
            <w:tcW w:type="dxa" w:w="3840"/>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Something that costs a key, a quota or data if ignored.</w:t>
            </w:r>
          </w:p>
        </w:tc>
      </w:tr>
      <w:tr>
        <w:trPr>
          <w:cantSplit/>
          <w:tblHeader w:val="false"/>
        </w:trPr>
        <w:tc>
          <w:tcPr>
            <w:tcW w:type="dxa" w:w="5798"/>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A </w:t>
            </w:r>
            <w:r>
              <w:rPr>
                <w:b/>
                <w:bCs/>
              </w:rPr>
              <w:t xml:space="preserve">Ready</w:t>
            </w:r>
            <w:r>
              <w:t xml:space="preserve"> box</w:t>
            </w:r>
          </w:p>
        </w:tc>
        <w:tc>
          <w:tcPr>
            <w:tcW w:type="dxa" w:w="3840"/>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A checkpoint listing what a client needs before it moves on.</w:t>
            </w:r>
          </w:p>
        </w:tc>
      </w:tr>
      <w:tr>
        <w:trPr>
          <w:cantSplit/>
          <w:tblHeader w:val="false"/>
        </w:trPr>
        <w:tc>
          <w:tcPr>
            <w:tcW w:type="dxa" w:w="5798"/>
            <w:gridSpan w:val="1"/>
            <w:tcBorders>
              <w:top w:val="none" w:color="auto" w:sz="0"/>
              <w:left w:val="none" w:color="auto" w:sz="0"/>
              <w:bottom w:val="none" w:color="auto" w:sz="0"/>
              <w:right w:val="none" w:color="auto" w:sz="0"/>
            </w:tcBorders>
            <w:tcMar>
              <w:top w:type="dxa" w:w="105"/>
              <w:left w:type="dxa" w:w="158"/>
              <w:bottom w:type="dxa" w:w="105"/>
              <w:right w:type="dxa" w:w="158"/>
            </w:tcMar>
            <w:vAlign w:val="top"/>
          </w:tcPr>
          <w:p>
            <w:pPr>
              <w:pStyle w:val="CudocTableCell"/>
              <w:overflowPunct/>
              <w:autoSpaceDN/>
            </w:pPr>
            <w:r>
              <w:rPr>
                <w:rStyle w:val="CudocCode"/>
              </w:rPr>
              <w:t xml:space="preserve">code</w:t>
            </w:r>
            <w:r>
              <w:t xml:space="preserve"> in running text</w:t>
            </w:r>
          </w:p>
        </w:tc>
        <w:tc>
          <w:tcPr>
            <w:tcW w:type="dxa" w:w="3840"/>
            <w:gridSpan w:val="1"/>
            <w:tcBorders>
              <w:top w:val="none" w:color="auto" w:sz="0"/>
              <w:left w:val="none" w:color="auto" w:sz="0"/>
              <w:bottom w:val="none" w:color="auto" w:sz="0"/>
              <w:right w:val="none" w:color="auto" w:sz="0"/>
            </w:tcBorders>
            <w:tcMar>
              <w:top w:type="dxa" w:w="105"/>
              <w:left w:type="dxa" w:w="158"/>
              <w:bottom w:type="dxa" w:w="105"/>
              <w:right w:type="dxa" w:w="158"/>
            </w:tcMar>
            <w:vAlign w:val="top"/>
          </w:tcPr>
          <w:p>
            <w:pPr>
              <w:pStyle w:val="CudocTableCell"/>
              <w:overflowPunct/>
              <w:autoSpaceDN/>
            </w:pPr>
            <w:r>
              <w:t xml:space="preserve">A literal parameter, field, header or value.</w:t>
            </w:r>
          </w:p>
        </w:tc>
      </w:tr>
    </w:tbl>
    <w:p>
      <w:pPr>
        <w:pStyle w:val="CudocBody"/>
        <w:overflowPunct/>
        <w:spacing w:before="210"/>
        <w:autoSpaceDN/>
      </w:pPr>
      <w:r>
        <w:t xml:space="preserve">Request and response samples are given as </w:t>
      </w:r>
      <w:r>
        <w:rPr>
          <w:rStyle w:val="CudocCode"/>
        </w:rPr>
        <w:t xml:space="preserve">curl</w:t>
      </w:r>
      <w:r>
        <w:t xml:space="preserve">, Node.js and Python, and every JSON sample is a real response for the station </w:t>
      </w:r>
      <w:r>
        <w:rPr>
          <w:rStyle w:val="CudocCode"/>
        </w:rPr>
        <w:t xml:space="preserve">OSL-01</w:t>
      </w:r>
      <w:r>
        <w:t xml:space="preserve">.</w:t>
      </w:r>
    </w:p>
    <w:p>
      <w:pPr>
        <w:pStyle w:val="Heading2"/>
        <w:overflowPunct/>
        <w:autoSpaceDN/>
      </w:pPr>
      <w:bookmarkStart w:name="cudoc62Pjob6bUVoxnIpvUzmctKZLPI" w:id="12"/>
      <w:r>
        <w:t xml:space="preserve">Where to start</w:t>
      </w:r>
      <w:bookmarkEnd w:id="12"/>
    </w:p>
    <w:p>
      <w:pPr>
        <w:pStyle w:val="CudocListItem"/>
        <w:numPr>
          <w:ilvl w:val="0"/>
          <w:numId w:val="2"/>
        </w:numPr>
        <w:overflowPunct/>
        <w:autoSpaceDN/>
      </w:pPr>
      <w:r>
        <w:t xml:space="preserve">Read </w:t>
      </w:r>
      <w:hyperlink w:history="1" r:id="rIdozvwfftbxankv5yzf9_aw">
        <w:r>
          <w:t xml:space="preserve">Getting started</w:t>
        </w:r>
      </w:hyperlink>
      <w:r>
        <w:t xml:space="preserve"> for a key, a first request and a polling schedule.</w:t>
      </w:r>
    </w:p>
    <w:p>
      <w:pPr>
        <w:pStyle w:val="CudocListItem"/>
        <w:numPr>
          <w:ilvl w:val="0"/>
          <w:numId w:val="2"/>
        </w:numPr>
        <w:overflowPunct/>
        <w:autoSpaceDN/>
      </w:pPr>
      <w:r>
        <w:t xml:space="preserve">Keep </w:t>
      </w:r>
      <w:hyperlink w:history="1" r:id="rId3rzymsh9vly23ewclqwqk">
        <w:r>
          <w:t xml:space="preserve">Rate limits</w:t>
        </w:r>
      </w:hyperlink>
      <w:r>
        <w:t xml:space="preserve"> open while you design that schedule; the request costs table tells you what each call weighs.</w:t>
      </w:r>
    </w:p>
    <w:p>
      <w:pPr>
        <w:pStyle w:val="CudocListItem"/>
        <w:numPr>
          <w:ilvl w:val="0"/>
          <w:numId w:val="2"/>
        </w:numPr>
        <w:overflowPunct/>
        <w:autoSpaceDN/>
      </w:pPr>
      <w:r>
        <w:t xml:space="preserve">Handle every code in </w:t>
      </w:r>
      <w:hyperlink w:history="1" r:id="rIdgh5qqflt5-jrm-rdz0u1k">
        <w:r>
          <w:t xml:space="preserve">Error codes</w:t>
        </w:r>
      </w:hyperlink>
      <w:r>
        <w:t xml:space="preserve"> before you switch to a live key.</w:t>
      </w:r>
    </w:p>
    <w:p>
      <w:pPr>
        <w:pStyle w:val="CudocListItem"/>
        <w:numPr>
          <w:ilvl w:val="0"/>
          <w:numId w:val="2"/>
        </w:numPr>
        <w:overflowPunct/>
        <w:autoSpaceDN/>
      </w:pPr>
      <w:r>
        <w:t xml:space="preserve">Check the </w:t>
      </w:r>
      <w:hyperlink w:history="1" r:id="rIdgtguy5pu21kyj4mzbkteg">
        <w:r>
          <w:t xml:space="preserve">release notes</w:t>
        </w:r>
      </w:hyperlink>
      <w:r>
        <w:t xml:space="preserve"> before upgrading a client.</w:t>
      </w:r>
    </w:p>
    <w:p>
      <w:pPr>
        <w:pStyle w:val="CudocCalloutTipTitle"/>
        <w:overflowPunct/>
        <w:autoSpaceDN/>
      </w:pPr>
      <w:r>
        <w:t xml:space="preserve">Reading this on paper?</w:t>
      </w:r>
    </w:p>
    <w:p>
      <w:pPr>
        <w:pStyle w:val="CudocCalloutTip"/>
        <w:overflowPunct/>
        <w:autoSpaceDN/>
      </w:pPr>
      <w:r>
        <w:t xml:space="preserve">External links print their address after the text, and links between documents jump inside the bound file. The contents page at the front lists the page each document starts on.</w:t>
      </w:r>
    </w:p>
    <w:sectPr>
      <w:headerReference w:type="default" r:id="rId7"/>
      <w:headerReference w:type="first" r:id="rId8"/>
      <w:footerReference w:type="default" r:id="rId9"/>
      <w:footerReference w:type="first" r:id="rId10"/>
      <w:pgSz w:w="11906" w:h="16838" w:orient="portrait"/>
      <w:pgMar w:top="1134" w:right="1134" w:bottom="1247"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udocRunning"/>
      <w:tabs>
        <w:tab w:val="center" w:pos="4819"/>
        <w:tab w:val="right" w:pos="9638"/>
      </w:tabs>
    </w:pPr>
    <w:r/>
    <w:r>
      <w:tab/>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CudocRunning"/>
      <w:tabs>
        <w:tab w:val="center" w:pos="4819"/>
        <w:tab w:val="right" w:pos="9638"/>
      </w:tabs>
    </w:pPr>
    <w:r>
      <w:t xml:space="preserve">Northlight Weather API</w:t>
    </w:r>
    <w:r>
      <w:tab/>
    </w:r>
    <w:r>
      <w:tab/>
      <w:t xml:space="preserve">2026-09-22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5" w:hanging="189"/>
      </w:pPr>
      <w:rPr>
        <w:color w:val="5B6B7F"/>
      </w:rPr>
    </w:lvl>
    <w:lvl w:ilvl="1" w15:tentative="1">
      <w:start w:val="1"/>
      <w:numFmt w:val="bullet"/>
      <w:lvlText w:val="◦"/>
      <w:lvlJc w:val="left"/>
      <w:pPr>
        <w:ind w:left="630" w:hanging="189"/>
      </w:pPr>
      <w:rPr>
        <w:color w:val="5B6B7F"/>
      </w:rPr>
    </w:lvl>
    <w:lvl w:ilvl="2" w15:tentative="1">
      <w:start w:val="1"/>
      <w:numFmt w:val="bullet"/>
      <w:lvlText w:val="•"/>
      <w:lvlJc w:val="left"/>
      <w:pPr>
        <w:ind w:left="945" w:hanging="189"/>
      </w:pPr>
      <w:rPr>
        <w:color w:val="5B6B7F"/>
      </w:rPr>
    </w:lvl>
    <w:lvl w:ilvl="3" w15:tentative="1">
      <w:start w:val="1"/>
      <w:numFmt w:val="bullet"/>
      <w:lvlText w:val="◦"/>
      <w:lvlJc w:val="left"/>
      <w:pPr>
        <w:ind w:left="1260" w:hanging="189"/>
      </w:pPr>
      <w:rPr>
        <w:color w:val="5B6B7F"/>
      </w:rPr>
    </w:lvl>
    <w:lvl w:ilvl="4" w15:tentative="1">
      <w:start w:val="1"/>
      <w:numFmt w:val="bullet"/>
      <w:lvlText w:val="•"/>
      <w:lvlJc w:val="left"/>
      <w:pPr>
        <w:ind w:left="1575" w:hanging="189"/>
      </w:pPr>
      <w:rPr>
        <w:color w:val="5B6B7F"/>
      </w:rPr>
    </w:lvl>
    <w:lvl w:ilvl="5" w15:tentative="1">
      <w:start w:val="1"/>
      <w:numFmt w:val="bullet"/>
      <w:lvlText w:val="◦"/>
      <w:lvlJc w:val="left"/>
      <w:pPr>
        <w:ind w:left="1890" w:hanging="189"/>
      </w:pPr>
      <w:rPr>
        <w:color w:val="5B6B7F"/>
      </w:rPr>
    </w:lvl>
    <w:lvl w:ilvl="6" w15:tentative="1">
      <w:start w:val="1"/>
      <w:numFmt w:val="bullet"/>
      <w:lvlText w:val="•"/>
      <w:lvlJc w:val="left"/>
      <w:pPr>
        <w:ind w:left="2205" w:hanging="189"/>
      </w:pPr>
      <w:rPr>
        <w:color w:val="5B6B7F"/>
      </w:rPr>
    </w:lvl>
    <w:lvl w:ilvl="7" w15:tentative="1">
      <w:start w:val="1"/>
      <w:numFmt w:val="bullet"/>
      <w:lvlText w:val="◦"/>
      <w:lvlJc w:val="left"/>
      <w:pPr>
        <w:ind w:left="2520" w:hanging="189"/>
      </w:pPr>
      <w:rPr>
        <w:color w:val="5B6B7F"/>
      </w:rPr>
    </w:lvl>
    <w:lvl w:ilvl="8" w15:tentative="1">
      <w:start w:val="1"/>
      <w:numFmt w:val="bullet"/>
      <w:lvlText w:val="•"/>
      <w:lvlJc w:val="left"/>
      <w:pPr>
        <w:ind w:left="2835" w:hanging="189"/>
      </w:pPr>
      <w:rPr>
        <w:color w:val="5B6B7F"/>
      </w:rPr>
    </w:lvl>
  </w:abstractNum>
  <w:abstractNum w:abstractNumId="3" w15:restartNumberingAfterBreak="0">
    <w:multiLevelType w:val="hybridMultilevel"/>
    <w:lvl w:ilvl="0" w15:tentative="1">
      <w:start w:val="1"/>
      <w:numFmt w:val="decimal"/>
      <w:lvlText w:val="%1."/>
      <w:lvlJc w:val="left"/>
      <w:pPr>
        <w:ind w:left="315" w:hanging="189"/>
      </w:pPr>
      <w:rPr>
        <w:color w:val="5B6B7F"/>
      </w:rPr>
    </w:lvl>
    <w:lvl w:ilvl="1" w15:tentative="1">
      <w:start w:val="1"/>
      <w:numFmt w:val="decimal"/>
      <w:lvlText w:val="%2."/>
      <w:lvlJc w:val="left"/>
      <w:pPr>
        <w:ind w:left="630" w:hanging="189"/>
      </w:pPr>
      <w:rPr>
        <w:color w:val="5B6B7F"/>
      </w:rPr>
    </w:lvl>
    <w:lvl w:ilvl="2" w15:tentative="1">
      <w:start w:val="1"/>
      <w:numFmt w:val="decimal"/>
      <w:lvlText w:val="%3."/>
      <w:lvlJc w:val="left"/>
      <w:pPr>
        <w:ind w:left="945" w:hanging="189"/>
      </w:pPr>
      <w:rPr>
        <w:color w:val="5B6B7F"/>
      </w:rPr>
    </w:lvl>
    <w:lvl w:ilvl="3" w15:tentative="1">
      <w:start w:val="1"/>
      <w:numFmt w:val="decimal"/>
      <w:lvlText w:val="%4."/>
      <w:lvlJc w:val="left"/>
      <w:pPr>
        <w:ind w:left="1260" w:hanging="189"/>
      </w:pPr>
      <w:rPr>
        <w:color w:val="5B6B7F"/>
      </w:rPr>
    </w:lvl>
    <w:lvl w:ilvl="4" w15:tentative="1">
      <w:start w:val="1"/>
      <w:numFmt w:val="decimal"/>
      <w:lvlText w:val="%5."/>
      <w:lvlJc w:val="left"/>
      <w:pPr>
        <w:ind w:left="1575" w:hanging="189"/>
      </w:pPr>
      <w:rPr>
        <w:color w:val="5B6B7F"/>
      </w:rPr>
    </w:lvl>
    <w:lvl w:ilvl="5" w15:tentative="1">
      <w:start w:val="1"/>
      <w:numFmt w:val="decimal"/>
      <w:lvlText w:val="%6."/>
      <w:lvlJc w:val="left"/>
      <w:pPr>
        <w:ind w:left="1890" w:hanging="189"/>
      </w:pPr>
      <w:rPr>
        <w:color w:val="5B6B7F"/>
      </w:rPr>
    </w:lvl>
    <w:lvl w:ilvl="6" w15:tentative="1">
      <w:start w:val="1"/>
      <w:numFmt w:val="decimal"/>
      <w:lvlText w:val="%7."/>
      <w:lvlJc w:val="left"/>
      <w:pPr>
        <w:ind w:left="2205" w:hanging="189"/>
      </w:pPr>
      <w:rPr>
        <w:color w:val="5B6B7F"/>
      </w:rPr>
    </w:lvl>
    <w:lvl w:ilvl="7" w15:tentative="1">
      <w:start w:val="1"/>
      <w:numFmt w:val="decimal"/>
      <w:lvlText w:val="%8."/>
      <w:lvlJc w:val="left"/>
      <w:pPr>
        <w:ind w:left="2520" w:hanging="189"/>
      </w:pPr>
      <w:rPr>
        <w:color w:val="5B6B7F"/>
      </w:rPr>
    </w:lvl>
    <w:lvl w:ilvl="8" w15:tentative="1">
      <w:start w:val="1"/>
      <w:numFmt w:val="decimal"/>
      <w:lvlText w:val="%9."/>
      <w:lvlJc w:val="left"/>
      <w:pPr>
        <w:ind w:left="2835" w:hanging="189"/>
      </w:pPr>
      <w:rPr>
        <w:color w:val="5B6B7F"/>
      </w:rPr>
    </w:lvl>
  </w:abstractNum>
  <w:abstractNum w:abstractNumId="4" w15:restartNumberingAfterBreak="0">
    <w:multiLevelType w:val="hybridMultilevel"/>
    <w:lvl w:ilvl="0" w15:tentative="1">
      <w:start w:val="1"/>
      <w:numFmt w:val="bullet"/>
      <w:lvlText w:val="•"/>
      <w:lvlJc w:val="left"/>
      <w:pPr>
        <w:ind w:left="210" w:hanging="126"/>
      </w:pPr>
      <w:rPr>
        <w:color w:val="5B6B7F"/>
      </w:rPr>
    </w:lvl>
    <w:lvl w:ilvl="1" w15:tentative="1">
      <w:start w:val="1"/>
      <w:numFmt w:val="bullet"/>
      <w:lvlText w:val="◦"/>
      <w:lvlJc w:val="left"/>
      <w:pPr>
        <w:ind w:left="420" w:hanging="126"/>
      </w:pPr>
      <w:rPr>
        <w:color w:val="5B6B7F"/>
      </w:rPr>
    </w:lvl>
    <w:lvl w:ilvl="2" w15:tentative="1">
      <w:start w:val="1"/>
      <w:numFmt w:val="bullet"/>
      <w:lvlText w:val="•"/>
      <w:lvlJc w:val="left"/>
      <w:pPr>
        <w:ind w:left="630" w:hanging="126"/>
      </w:pPr>
      <w:rPr>
        <w:color w:val="5B6B7F"/>
      </w:rPr>
    </w:lvl>
    <w:lvl w:ilvl="3" w15:tentative="1">
      <w:start w:val="1"/>
      <w:numFmt w:val="bullet"/>
      <w:lvlText w:val="◦"/>
      <w:lvlJc w:val="left"/>
      <w:pPr>
        <w:ind w:left="840" w:hanging="126"/>
      </w:pPr>
      <w:rPr>
        <w:color w:val="5B6B7F"/>
      </w:rPr>
    </w:lvl>
    <w:lvl w:ilvl="4" w15:tentative="1">
      <w:start w:val="1"/>
      <w:numFmt w:val="bullet"/>
      <w:lvlText w:val="•"/>
      <w:lvlJc w:val="left"/>
      <w:pPr>
        <w:ind w:left="1050" w:hanging="126"/>
      </w:pPr>
      <w:rPr>
        <w:color w:val="5B6B7F"/>
      </w:rPr>
    </w:lvl>
    <w:lvl w:ilvl="5" w15:tentative="1">
      <w:start w:val="1"/>
      <w:numFmt w:val="bullet"/>
      <w:lvlText w:val="◦"/>
      <w:lvlJc w:val="left"/>
      <w:pPr>
        <w:ind w:left="1260" w:hanging="126"/>
      </w:pPr>
      <w:rPr>
        <w:color w:val="5B6B7F"/>
      </w:rPr>
    </w:lvl>
    <w:lvl w:ilvl="6" w15:tentative="1">
      <w:start w:val="1"/>
      <w:numFmt w:val="bullet"/>
      <w:lvlText w:val="•"/>
      <w:lvlJc w:val="left"/>
      <w:pPr>
        <w:ind w:left="1470" w:hanging="126"/>
      </w:pPr>
      <w:rPr>
        <w:color w:val="5B6B7F"/>
      </w:rPr>
    </w:lvl>
    <w:lvl w:ilvl="7" w15:tentative="1">
      <w:start w:val="1"/>
      <w:numFmt w:val="bullet"/>
      <w:lvlText w:val="◦"/>
      <w:lvlJc w:val="left"/>
      <w:pPr>
        <w:ind w:left="1680" w:hanging="126"/>
      </w:pPr>
      <w:rPr>
        <w:color w:val="5B6B7F"/>
      </w:rPr>
    </w:lvl>
    <w:lvl w:ilvl="8" w15:tentative="1">
      <w:start w:val="1"/>
      <w:numFmt w:val="bullet"/>
      <w:lvlText w:val="•"/>
      <w:lvlJc w:val="left"/>
      <w:pPr>
        <w:ind w:left="1890" w:hanging="126"/>
      </w:pPr>
      <w:rPr>
        <w:color w:val="5B6B7F"/>
      </w:rPr>
    </w:lvl>
  </w:abstractNum>
  <w:abstractNum w:abstractNumId="5" w15:restartNumberingAfterBreak="0">
    <w:multiLevelType w:val="hybridMultilevel"/>
    <w:lvl w:ilvl="0" w15:tentative="1">
      <w:start w:val="1"/>
      <w:numFmt w:val="decimal"/>
      <w:lvlText w:val="%1."/>
      <w:lvlJc w:val="left"/>
      <w:pPr>
        <w:ind w:left="210" w:hanging="126"/>
      </w:pPr>
      <w:rPr>
        <w:color w:val="5B6B7F"/>
      </w:rPr>
    </w:lvl>
    <w:lvl w:ilvl="1" w15:tentative="1">
      <w:start w:val="1"/>
      <w:numFmt w:val="decimal"/>
      <w:lvlText w:val="%2."/>
      <w:lvlJc w:val="left"/>
      <w:pPr>
        <w:ind w:left="420" w:hanging="126"/>
      </w:pPr>
      <w:rPr>
        <w:color w:val="5B6B7F"/>
      </w:rPr>
    </w:lvl>
    <w:lvl w:ilvl="2" w15:tentative="1">
      <w:start w:val="1"/>
      <w:numFmt w:val="decimal"/>
      <w:lvlText w:val="%3."/>
      <w:lvlJc w:val="left"/>
      <w:pPr>
        <w:ind w:left="630" w:hanging="126"/>
      </w:pPr>
      <w:rPr>
        <w:color w:val="5B6B7F"/>
      </w:rPr>
    </w:lvl>
    <w:lvl w:ilvl="3" w15:tentative="1">
      <w:start w:val="1"/>
      <w:numFmt w:val="decimal"/>
      <w:lvlText w:val="%4."/>
      <w:lvlJc w:val="left"/>
      <w:pPr>
        <w:ind w:left="840" w:hanging="126"/>
      </w:pPr>
      <w:rPr>
        <w:color w:val="5B6B7F"/>
      </w:rPr>
    </w:lvl>
    <w:lvl w:ilvl="4" w15:tentative="1">
      <w:start w:val="1"/>
      <w:numFmt w:val="decimal"/>
      <w:lvlText w:val="%5."/>
      <w:lvlJc w:val="left"/>
      <w:pPr>
        <w:ind w:left="1050" w:hanging="126"/>
      </w:pPr>
      <w:rPr>
        <w:color w:val="5B6B7F"/>
      </w:rPr>
    </w:lvl>
    <w:lvl w:ilvl="5" w15:tentative="1">
      <w:start w:val="1"/>
      <w:numFmt w:val="decimal"/>
      <w:lvlText w:val="%6."/>
      <w:lvlJc w:val="left"/>
      <w:pPr>
        <w:ind w:left="1260" w:hanging="126"/>
      </w:pPr>
      <w:rPr>
        <w:color w:val="5B6B7F"/>
      </w:rPr>
    </w:lvl>
    <w:lvl w:ilvl="6" w15:tentative="1">
      <w:start w:val="1"/>
      <w:numFmt w:val="decimal"/>
      <w:lvlText w:val="%7."/>
      <w:lvlJc w:val="left"/>
      <w:pPr>
        <w:ind w:left="1470" w:hanging="126"/>
      </w:pPr>
      <w:rPr>
        <w:color w:val="5B6B7F"/>
      </w:rPr>
    </w:lvl>
    <w:lvl w:ilvl="7" w15:tentative="1">
      <w:start w:val="1"/>
      <w:numFmt w:val="decimal"/>
      <w:lvlText w:val="%8."/>
      <w:lvlJc w:val="left"/>
      <w:pPr>
        <w:ind w:left="1680" w:hanging="126"/>
      </w:pPr>
      <w:rPr>
        <w:color w:val="5B6B7F"/>
      </w:rPr>
    </w:lvl>
    <w:lvl w:ilvl="8" w15:tentative="1">
      <w:start w:val="1"/>
      <w:numFmt w:val="decimal"/>
      <w:lvlText w:val="%9."/>
      <w:lvlJc w:val="left"/>
      <w:pPr>
        <w:ind w:left="1890" w:hanging="126"/>
      </w:pPr>
      <w:rPr>
        <w:color w:val="5B6B7F"/>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algun Gothic" w:hAnsi="Calibri"/>
        <w:color w:val="1E293B"/>
        <w:sz w:val="20"/>
        <w:szCs w:val="20"/>
      </w:rPr>
    </w:rPrDefault>
    <w:pPrDefault>
      <w:pPr>
        <w:spacing w:after="21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58" w:before="420" w:line="260"/>
    </w:pPr>
    <w:rPr>
      <w:rFonts w:ascii="Calibri" w:cs="Calibri" w:eastAsia="Malgun Gothic" w:hAnsi="Calibri"/>
      <w:b/>
      <w:bCs/>
      <w:color w:val="1E293B"/>
      <w:sz w:val="42"/>
      <w:szCs w:val="42"/>
    </w:rPr>
  </w:style>
  <w:style w:type="paragraph" w:styleId="Heading2">
    <w:name w:val="Heading 2"/>
    <w:basedOn w:val="Normal"/>
    <w:next w:val="Normal"/>
    <w:qFormat/>
    <w:pPr>
      <w:keepNext/>
      <w:pBdr>
        <w:top w:val="single" w:color="E2E8F0" w:sz="8"/>
      </w:pBdr>
      <w:spacing w:after="158" w:before="315" w:line="260"/>
    </w:pPr>
    <w:rPr>
      <w:rFonts w:ascii="Calibri" w:cs="Calibri" w:eastAsia="Malgun Gothic" w:hAnsi="Calibri"/>
      <w:b/>
      <w:bCs/>
      <w:color w:val="1E293B"/>
      <w:sz w:val="32"/>
      <w:szCs w:val="32"/>
    </w:rPr>
  </w:style>
  <w:style w:type="paragraph" w:styleId="Heading3">
    <w:name w:val="Heading 3"/>
    <w:basedOn w:val="Normal"/>
    <w:next w:val="Normal"/>
    <w:qFormat/>
    <w:pPr>
      <w:keepNext/>
      <w:spacing w:after="158" w:before="315" w:line="260"/>
    </w:pPr>
    <w:rPr>
      <w:rFonts w:ascii="Calibri" w:cs="Calibri" w:eastAsia="Malgun Gothic" w:hAnsi="Calibri"/>
      <w:b/>
      <w:bCs/>
      <w:color w:val="1E293B"/>
      <w:sz w:val="25"/>
      <w:szCs w:val="25"/>
    </w:rPr>
  </w:style>
  <w:style w:type="paragraph" w:styleId="Heading4">
    <w:name w:val="Heading 4"/>
    <w:basedOn w:val="Normal"/>
    <w:next w:val="Normal"/>
    <w:qFormat/>
    <w:pPr>
      <w:keepNext/>
      <w:spacing w:after="158" w:before="315" w:line="260"/>
    </w:pPr>
    <w:rPr>
      <w:rFonts w:ascii="Calibri" w:cs="Calibri" w:eastAsia="Malgun Gothic" w:hAnsi="Calibri"/>
      <w:b/>
      <w:bCs/>
      <w:color w:val="475569"/>
      <w:sz w:val="22"/>
      <w:szCs w:val="22"/>
    </w:rPr>
  </w:style>
  <w:style w:type="paragraph" w:styleId="Heading5">
    <w:name w:val="Heading 5"/>
    <w:basedOn w:val="Normal"/>
    <w:next w:val="Normal"/>
    <w:qFormat/>
    <w:pPr>
      <w:keepNext/>
      <w:spacing w:after="158" w:before="315" w:line="260"/>
    </w:pPr>
    <w:rPr>
      <w:rFonts w:ascii="Calibri" w:cs="Calibri" w:eastAsia="Malgun Gothic" w:hAnsi="Calibri"/>
      <w:b/>
      <w:bCs/>
      <w:color w:val="475569"/>
      <w:sz w:val="20"/>
      <w:szCs w:val="20"/>
    </w:rPr>
  </w:style>
  <w:style w:type="paragraph" w:styleId="Heading6">
    <w:name w:val="Heading 6"/>
    <w:basedOn w:val="Normal"/>
    <w:next w:val="Normal"/>
    <w:qFormat/>
    <w:pPr>
      <w:keepNext/>
      <w:spacing w:after="158" w:before="315" w:line="260"/>
    </w:pPr>
    <w:rPr>
      <w:rFonts w:ascii="Calibri" w:cs="Calibri" w:eastAsia="Malgun Gothic" w:hAnsi="Calibri"/>
      <w:b/>
      <w:bCs/>
      <w:color w:val="475569"/>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155E75"/>
      <w:u w:val="single"/>
    </w:rPr>
  </w:style>
  <w:style w:type="character" w:styleId="FootnoteReference">
    <w:name w:val="footnote reference"/>
    <w:basedOn w:val="DefaultParagraphFont"/>
    <w:uiPriority w:val="99"/>
    <w:semiHidden/>
    <w:unhideWhenUsed/>
    <w:rPr>
      <w:color w:val="155E75"/>
    </w:rPr>
  </w:style>
  <w:style w:type="paragraph" w:styleId="FootnoteText">
    <w:name w:val="footnote text"/>
    <w:basedOn w:val="Normal"/>
    <w:link w:val="FootnoteTextChar"/>
    <w:uiPriority w:val="99"/>
    <w:semiHidden/>
    <w:unhideWhenUsed/>
    <w:pPr>
      <w:spacing w:after="53" w:line="240"/>
    </w:pPr>
    <w:rPr>
      <w:rFonts w:ascii="Calibri" w:cs="Calibri" w:eastAsia="Malgun Gothic" w:hAnsi="Calibri"/>
      <w:color w:val="475569"/>
      <w:sz w:val="18"/>
      <w:szCs w:val="18"/>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udocBody">
    <w:name w:val="cudoc Body"/>
    <w:basedOn w:val="Normal"/>
    <w:next w:val="CudocBody"/>
    <w:qFormat/>
    <w:pPr>
      <w:spacing w:after="210" w:line="340"/>
    </w:pPr>
    <w:rPr>
      <w:rFonts w:ascii="Calibri" w:cs="Calibri" w:eastAsia="Malgun Gothic" w:hAnsi="Calibri"/>
      <w:color w:val="1E293B"/>
      <w:sz w:val="20"/>
      <w:szCs w:val="20"/>
    </w:rPr>
  </w:style>
  <w:style w:type="paragraph" w:styleId="CudocQuote">
    <w:name w:val="cudoc Quote"/>
    <w:basedOn w:val="CudocBody"/>
    <w:next w:val="CudocBody"/>
    <w:pPr>
      <w:pBdr>
        <w:left w:val="single" w:color="E2E8F0" w:sz="12"/>
      </w:pBdr>
      <w:ind w:left="210"/>
    </w:pPr>
    <w:rPr>
      <w:color w:val="475569"/>
    </w:rPr>
  </w:style>
  <w:style w:type="paragraph" w:styleId="CudocListItem">
    <w:name w:val="cudoc List Item"/>
    <w:basedOn w:val="CudocBody"/>
    <w:next w:val="CudocListItem"/>
    <w:pPr>
      <w:spacing w:after="53"/>
    </w:pPr>
  </w:style>
  <w:style w:type="paragraph" w:styleId="CudocSpacer">
    <w:name w:val="cudoc Spacer"/>
    <w:basedOn w:val="Normal"/>
    <w:next w:val="CudocBody"/>
    <w:pPr>
      <w:spacing w:after="0" w:before="0" w:line="240"/>
    </w:pPr>
    <w:rPr>
      <w:sz w:val="2"/>
      <w:szCs w:val="2"/>
    </w:rPr>
  </w:style>
  <w:style w:type="paragraph" w:styleId="CudocCodeBlock">
    <w:name w:val="cudoc Code Block"/>
    <w:basedOn w:val="Normal"/>
    <w:next w:val="CudocBody"/>
    <w:pPr>
      <w:keepLines/>
      <w:pBdr>
        <w:top w:val="single" w:color="F1F5F9" w:sz="4" w:space="5"/>
        <w:bottom w:val="single" w:color="F1F5F9" w:sz="4" w:space="5"/>
        <w:left w:val="single" w:color="F1F5F9" w:sz="4" w:space="5"/>
        <w:right w:val="single" w:color="F1F5F9" w:sz="4" w:space="5"/>
      </w:pBdr>
      <w:shd w:fill="F1F5F9" w:val="clear"/>
      <w:spacing w:after="0" w:before="0" w:line="320"/>
    </w:pPr>
    <w:rPr>
      <w:rFonts w:ascii="Consolas" w:cs="Consolas" w:eastAsia="Malgun Gothic" w:hAnsi="Consolas"/>
      <w:color w:val="1E293B"/>
      <w:sz w:val="18"/>
      <w:szCs w:val="18"/>
    </w:rPr>
  </w:style>
  <w:style w:type="paragraph" w:styleId="CudocCodeHighlighted">
    <w:name w:val="cudoc Code Highlighted"/>
    <w:basedOn w:val="CudocCodeBlock"/>
    <w:next w:val="CudocCodeBlock"/>
    <w:pPr>
      <w:shd w:fill="E0F2FE" w:val="clear"/>
    </w:pPr>
  </w:style>
  <w:style w:type="paragraph" w:styleId="CudocTableHeader">
    <w:name w:val="cudoc Table Header"/>
    <w:basedOn w:val="Normal"/>
    <w:next w:val="CudocTableCell"/>
    <w:pPr>
      <w:keepNext/>
      <w:spacing w:after="0" w:before="0" w:line="240"/>
    </w:pPr>
    <w:rPr>
      <w:rFonts w:ascii="Calibri" w:cs="Calibri" w:eastAsia="Malgun Gothic" w:hAnsi="Calibri"/>
      <w:b/>
      <w:bCs/>
      <w:color w:val="475569"/>
      <w:sz w:val="18"/>
      <w:szCs w:val="18"/>
    </w:rPr>
  </w:style>
  <w:style w:type="paragraph" w:styleId="CudocTableCell">
    <w:name w:val="cudoc Table Cell"/>
    <w:basedOn w:val="Normal"/>
    <w:next w:val="CudocTableCell"/>
    <w:pPr>
      <w:spacing w:after="0" w:before="0" w:line="300"/>
    </w:pPr>
    <w:rPr>
      <w:rFonts w:ascii="Calibri" w:cs="Calibri" w:eastAsia="Malgun Gothic" w:hAnsi="Calibri"/>
      <w:color w:val="1E293B"/>
      <w:sz w:val="18"/>
      <w:szCs w:val="18"/>
    </w:rPr>
  </w:style>
  <w:style w:type="paragraph" w:styleId="CudocCaption">
    <w:name w:val="cudoc Caption"/>
    <w:basedOn w:val="Normal"/>
    <w:next w:val="CudocBody"/>
    <w:pPr>
      <w:spacing w:after="210"/>
    </w:pPr>
    <w:rPr>
      <w:rFonts w:ascii="Calibri" w:cs="Calibri" w:eastAsia="Malgun Gothic" w:hAnsi="Calibri"/>
      <w:i/>
      <w:iCs/>
      <w:color w:val="5B6B7F"/>
      <w:sz w:val="17"/>
      <w:szCs w:val="17"/>
    </w:rPr>
  </w:style>
  <w:style w:type="paragraph" w:styleId="CudocCodeTitle">
    <w:name w:val="cudoc Code Title"/>
    <w:basedOn w:val="Normal"/>
    <w:next w:val="CudocCodeBlock"/>
    <w:pPr>
      <w:keepNext/>
      <w:spacing w:after="0" w:before="210"/>
    </w:pPr>
    <w:rPr>
      <w:rFonts w:ascii="Consolas" w:cs="Consolas" w:eastAsia="Malgun Gothic" w:hAnsi="Consolas"/>
      <w:color w:val="5B6B7F"/>
      <w:sz w:val="17"/>
      <w:szCs w:val="17"/>
    </w:rPr>
  </w:style>
  <w:style w:type="paragraph" w:styleId="CudocTabLabel">
    <w:name w:val="cudoc Tab Label"/>
    <w:basedOn w:val="Normal"/>
    <w:next w:val="CudocBody"/>
    <w:pPr>
      <w:keepNext/>
      <w:spacing w:after="210" w:before="210"/>
    </w:pPr>
    <w:rPr>
      <w:rFonts w:ascii="Calibri" w:cs="Calibri" w:eastAsia="Malgun Gothic" w:hAnsi="Calibri"/>
      <w:b/>
      <w:bCs/>
      <w:color w:val="475569"/>
      <w:sz w:val="18"/>
      <w:szCs w:val="18"/>
    </w:rPr>
  </w:style>
  <w:style w:type="paragraph" w:styleId="CudocTableNote">
    <w:name w:val="cudoc Table Note"/>
    <w:basedOn w:val="Normal"/>
    <w:next w:val="CudocBody"/>
    <w:pPr>
      <w:keepLines/>
      <w:spacing w:after="210"/>
    </w:pPr>
    <w:rPr>
      <w:rFonts w:ascii="Calibri" w:cs="Calibri" w:eastAsia="Malgun Gothic" w:hAnsi="Calibri"/>
      <w:color w:val="5B6B7F"/>
      <w:sz w:val="17"/>
      <w:szCs w:val="17"/>
    </w:rPr>
  </w:style>
  <w:style w:type="paragraph" w:styleId="CudocRule">
    <w:name w:val="cudoc Rule"/>
    <w:basedOn w:val="Normal"/>
    <w:next w:val="CudocBody"/>
    <w:pPr>
      <w:pBdr>
        <w:bottom w:val="single" w:color="E2E8F0" w:sz="8"/>
      </w:pBdr>
      <w:spacing w:after="210" w:before="210"/>
    </w:pPr>
    <w:rPr>
      <w:sz w:val="2"/>
      <w:szCs w:val="2"/>
    </w:rPr>
  </w:style>
  <w:style w:type="paragraph" w:styleId="CudocDetailsSummary">
    <w:name w:val="cudoc Details Summary"/>
    <w:basedOn w:val="CudocBody"/>
    <w:next w:val="CudocDetailsBody"/>
    <w:pPr>
      <w:keepNext/>
      <w:spacing w:after="105"/>
    </w:pPr>
    <w:rPr>
      <w:b/>
      <w:bCs/>
    </w:rPr>
  </w:style>
  <w:style w:type="paragraph" w:styleId="CudocDetailsBody">
    <w:name w:val="cudoc Details Body"/>
    <w:basedOn w:val="CudocBody"/>
    <w:next w:val="CudocDetailsBody"/>
    <w:pPr>
      <w:shd w:fill="F1F5F9" w:val="clear"/>
      <w:ind w:left="210"/>
    </w:pPr>
  </w:style>
  <w:style w:type="paragraph" w:styleId="CudocRunning">
    <w:name w:val="cudoc Running"/>
    <w:basedOn w:val="Normal"/>
    <w:next w:val="CudocRunning"/>
    <w:pPr>
      <w:spacing w:after="0" w:before="0" w:line="240"/>
    </w:pPr>
    <w:rPr>
      <w:rFonts w:ascii="Calibri" w:cs="Calibri" w:eastAsia="Malgun Gothic" w:hAnsi="Calibri"/>
      <w:color w:val="5B6B7F"/>
      <w:sz w:val="17"/>
      <w:szCs w:val="17"/>
    </w:rPr>
  </w:style>
  <w:style w:type="paragraph" w:styleId="CudocCoverTitle">
    <w:name w:val="cudoc Cover Title"/>
    <w:basedOn w:val="Normal"/>
    <w:next w:val="CudocBody"/>
    <w:pPr>
      <w:spacing w:after="0" w:before="10409" w:line="260"/>
    </w:pPr>
    <w:rPr>
      <w:rFonts w:ascii="Calibri" w:cs="Calibri" w:eastAsia="Malgun Gothic" w:hAnsi="Calibri"/>
      <w:b/>
      <w:bCs/>
      <w:color w:val="1E293B"/>
      <w:sz w:val="53"/>
      <w:szCs w:val="53"/>
    </w:rPr>
  </w:style>
  <w:style w:type="paragraph" w:styleId="CudocCoverTitlePanel">
    <w:name w:val="cudoc Cover Title on Image"/>
    <w:basedOn w:val="CudocCoverTitle"/>
    <w:next w:val="CudocBody"/>
    <w:pPr>
      <w:pBdr>
        <w:top w:val="none" w:color="auto" w:sz="0" w:space="8"/>
        <w:bottom w:val="none" w:color="auto" w:sz="0" w:space="8"/>
      </w:pBdr>
      <w:shd w:fill="FFFFFF" w:val="clear"/>
      <w:ind w:left="315" w:right="315"/>
    </w:pPr>
  </w:style>
  <w:style w:type="paragraph" w:styleId="CudocContentsTitle">
    <w:name w:val="cudoc Contents Title"/>
    <w:basedOn w:val="Normal"/>
    <w:next w:val="TOC1"/>
    <w:pPr>
      <w:keepNext/>
      <w:spacing w:after="210" w:before="315" w:line="260"/>
    </w:pPr>
    <w:rPr>
      <w:rFonts w:ascii="Calibri" w:cs="Calibri" w:eastAsia="Malgun Gothic" w:hAnsi="Calibri"/>
      <w:b/>
      <w:bCs/>
      <w:color w:val="1E293B"/>
      <w:sz w:val="32"/>
      <w:szCs w:val="32"/>
    </w:rPr>
  </w:style>
  <w:style w:type="paragraph" w:styleId="TOC1">
    <w:name w:val="toc 1"/>
    <w:basedOn w:val="CudocBody"/>
    <w:next w:val="TOC1"/>
    <w:pPr>
      <w:spacing w:after="53" w:before="53"/>
    </w:pPr>
  </w:style>
  <w:style w:type="paragraph" w:styleId="CudocFootnote">
    <w:name w:val="cudoc Footnote"/>
    <w:basedOn w:val="Normal"/>
    <w:next w:val="CudocFootnote"/>
    <w:pPr>
      <w:spacing w:after="53" w:line="240"/>
    </w:pPr>
    <w:rPr>
      <w:rFonts w:ascii="Calibri" w:cs="Calibri" w:eastAsia="Malgun Gothic" w:hAnsi="Calibri"/>
      <w:color w:val="475569"/>
      <w:sz w:val="18"/>
      <w:szCs w:val="18"/>
    </w:rPr>
  </w:style>
  <w:style w:type="paragraph" w:styleId="CudocCalloutNote">
    <w:name w:val="cudoc Callout — Note"/>
    <w:basedOn w:val="CudocBody"/>
    <w:next w:val="CudocCalloutNote"/>
    <w:pPr>
      <w:pBdr>
        <w:top w:val="single" w:color="EEF2F7" w:sz="4" w:space="5"/>
        <w:bottom w:val="single" w:color="EEF2F7" w:sz="4" w:space="5"/>
        <w:left w:val="single" w:color="155E75" w:sz="18" w:space="5"/>
        <w:right w:val="single" w:color="EEF2F7" w:sz="4" w:space="5"/>
      </w:pBdr>
      <w:shd w:fill="F1F5F9" w:val="clear"/>
      <w:spacing w:after="53" w:before="53"/>
      <w:ind w:left="210" w:right="210"/>
    </w:pPr>
  </w:style>
  <w:style w:type="paragraph" w:styleId="CudocCalloutNoteTitle">
    <w:name w:val="cudoc Callout — Note Title"/>
    <w:basedOn w:val="CudocCalloutNote"/>
    <w:next w:val="CudocCalloutNote"/>
    <w:pPr>
      <w:keepNext/>
      <w:spacing w:after="0"/>
    </w:pPr>
    <w:rPr>
      <w:b/>
      <w:bCs/>
      <w:color w:val="155E75"/>
    </w:rPr>
  </w:style>
  <w:style w:type="paragraph" w:styleId="CudocCalloutTip">
    <w:name w:val="cudoc Callout — Tip"/>
    <w:basedOn w:val="CudocBody"/>
    <w:next w:val="CudocCalloutTip"/>
    <w:pPr>
      <w:pBdr>
        <w:top w:val="single" w:color="EEF2F7" w:sz="4" w:space="5"/>
        <w:bottom w:val="single" w:color="EEF2F7" w:sz="4" w:space="5"/>
        <w:left w:val="single" w:color="155E75" w:sz="18" w:space="5"/>
        <w:right w:val="single" w:color="EEF2F7" w:sz="4" w:space="5"/>
      </w:pBdr>
      <w:shd w:fill="F1F5F9" w:val="clear"/>
      <w:spacing w:after="53" w:before="53"/>
      <w:ind w:left="210" w:right="210"/>
    </w:pPr>
  </w:style>
  <w:style w:type="paragraph" w:styleId="CudocCalloutTipTitle">
    <w:name w:val="cudoc Callout — Tip Title"/>
    <w:basedOn w:val="CudocCalloutTip"/>
    <w:next w:val="CudocCalloutTip"/>
    <w:pPr>
      <w:keepNext/>
      <w:spacing w:after="0"/>
    </w:pPr>
    <w:rPr>
      <w:b/>
      <w:bCs/>
      <w:color w:val="155E75"/>
    </w:rPr>
  </w:style>
  <w:style w:type="paragraph" w:styleId="CudocCalloutImportant">
    <w:name w:val="cudoc Callout — Important"/>
    <w:basedOn w:val="CudocBody"/>
    <w:next w:val="CudocCalloutImportant"/>
    <w:pPr>
      <w:pBdr>
        <w:top w:val="single" w:color="EEF2F7" w:sz="4" w:space="5"/>
        <w:bottom w:val="single" w:color="EEF2F7" w:sz="4" w:space="5"/>
        <w:left w:val="single" w:color="155E75" w:sz="18" w:space="5"/>
        <w:right w:val="single" w:color="EEF2F7" w:sz="4" w:space="5"/>
      </w:pBdr>
      <w:shd w:fill="F1F5F9" w:val="clear"/>
      <w:spacing w:after="53" w:before="53"/>
      <w:ind w:left="210" w:right="210"/>
    </w:pPr>
  </w:style>
  <w:style w:type="paragraph" w:styleId="CudocCalloutImportantTitle">
    <w:name w:val="cudoc Callout — Important Title"/>
    <w:basedOn w:val="CudocCalloutImportant"/>
    <w:next w:val="CudocCalloutImportant"/>
    <w:pPr>
      <w:keepNext/>
      <w:spacing w:after="0"/>
    </w:pPr>
    <w:rPr>
      <w:b/>
      <w:bCs/>
      <w:color w:val="155E75"/>
    </w:rPr>
  </w:style>
  <w:style w:type="paragraph" w:styleId="CudocCalloutWarning">
    <w:name w:val="cudoc Callout — Warning"/>
    <w:basedOn w:val="CudocBody"/>
    <w:next w:val="CudocCalloutWarning"/>
    <w:pPr>
      <w:pBdr>
        <w:top w:val="single" w:color="EEF2F7" w:sz="4" w:space="5"/>
        <w:bottom w:val="single" w:color="EEF2F7" w:sz="4" w:space="5"/>
        <w:left w:val="single" w:color="B45309" w:sz="18" w:space="5"/>
        <w:right w:val="single" w:color="EEF2F7" w:sz="4" w:space="5"/>
      </w:pBdr>
      <w:shd w:fill="FEF6E7" w:val="clear"/>
      <w:spacing w:after="53" w:before="53"/>
      <w:ind w:left="210" w:right="210"/>
    </w:pPr>
  </w:style>
  <w:style w:type="paragraph" w:styleId="CudocCalloutWarningTitle">
    <w:name w:val="cudoc Callout — Warning Title"/>
    <w:basedOn w:val="CudocCalloutWarning"/>
    <w:next w:val="CudocCalloutWarning"/>
    <w:pPr>
      <w:keepNext/>
      <w:spacing w:after="0"/>
    </w:pPr>
    <w:rPr>
      <w:b/>
      <w:bCs/>
      <w:color w:val="B45309"/>
    </w:rPr>
  </w:style>
  <w:style w:type="paragraph" w:styleId="CudocCalloutCaution">
    <w:name w:val="cudoc Callout — Caution"/>
    <w:basedOn w:val="CudocBody"/>
    <w:next w:val="CudocCalloutCaution"/>
    <w:pPr>
      <w:pBdr>
        <w:top w:val="single" w:color="EEF2F7" w:sz="4" w:space="5"/>
        <w:bottom w:val="single" w:color="EEF2F7" w:sz="4" w:space="5"/>
        <w:left w:val="single" w:color="B91C1C" w:sz="18" w:space="5"/>
        <w:right w:val="single" w:color="EEF2F7" w:sz="4" w:space="5"/>
      </w:pBdr>
      <w:shd w:fill="FDEEEE" w:val="clear"/>
      <w:spacing w:after="53" w:before="53"/>
      <w:ind w:left="210" w:right="210"/>
    </w:pPr>
  </w:style>
  <w:style w:type="paragraph" w:styleId="CudocCalloutCautionTitle">
    <w:name w:val="cudoc Callout — Caution Title"/>
    <w:basedOn w:val="CudocCalloutCaution"/>
    <w:next w:val="CudocCalloutCaution"/>
    <w:pPr>
      <w:keepNext/>
      <w:spacing w:after="0"/>
    </w:pPr>
    <w:rPr>
      <w:b/>
      <w:bCs/>
      <w:color w:val="B91C1C"/>
    </w:rPr>
  </w:style>
  <w:style w:type="paragraph" w:styleId="CudocCalloutSuccess">
    <w:name w:val="cudoc Callout — Success"/>
    <w:basedOn w:val="CudocBody"/>
    <w:next w:val="CudocCalloutSuccess"/>
    <w:pPr>
      <w:pBdr>
        <w:top w:val="single" w:color="EEF2F7" w:sz="4" w:space="5"/>
        <w:bottom w:val="single" w:color="EEF2F7" w:sz="4" w:space="5"/>
        <w:left w:val="single" w:color="155E75" w:sz="18" w:space="5"/>
        <w:right w:val="single" w:color="EEF2F7" w:sz="4" w:space="5"/>
      </w:pBdr>
      <w:shd w:fill="F1F5F9" w:val="clear"/>
      <w:spacing w:after="53" w:before="53"/>
      <w:ind w:left="210" w:right="210"/>
    </w:pPr>
  </w:style>
  <w:style w:type="paragraph" w:styleId="CudocCalloutSuccessTitle">
    <w:name w:val="cudoc Callout — Success Title"/>
    <w:basedOn w:val="CudocCalloutSuccess"/>
    <w:next w:val="CudocCalloutSuccess"/>
    <w:pPr>
      <w:keepNext/>
      <w:spacing w:after="0"/>
    </w:pPr>
    <w:rPr>
      <w:b/>
      <w:bCs/>
      <w:color w:val="155E75"/>
    </w:rPr>
  </w:style>
  <w:style w:type="character" w:styleId="IndexLink">
    <w:name w:val="cudoc Contents Link"/>
    <w:basedOn w:val="DefaultParagraphFont"/>
    <w:uiPriority w:val="99"/>
    <w:unhideWhenUsed/>
    <w:rPr>
      <w:color w:val="1E293B"/>
    </w:rPr>
  </w:style>
  <w:style w:type="character" w:styleId="CudocCode">
    <w:name w:val="cudoc Code"/>
    <w:basedOn w:val="DefaultParagraphFont"/>
    <w:uiPriority w:val="99"/>
    <w:unhideWhenUsed/>
    <w:rPr>
      <w:rFonts w:ascii="Consolas" w:cs="Consolas" w:eastAsia="Malgun Gothic" w:hAnsi="Consolas"/>
      <w:sz w:val="18"/>
      <w:szCs w:val="18"/>
      <w:shd w:fill="F1F5F9" w:val="clear"/>
    </w:rPr>
  </w:style>
  <w:style w:type="character" w:styleId="CudocLinkUrl">
    <w:name w:val="cudoc Link URL"/>
    <w:basedOn w:val="DefaultParagraphFont"/>
    <w:uiPriority w:val="99"/>
    <w:unhideWhenUsed/>
    <w:rPr>
      <w:color w:val="475569"/>
      <w:sz w:val="17"/>
      <w:szCs w:val="17"/>
    </w:rPr>
  </w:style>
  <w:style w:type="character" w:styleId="CudocBadge">
    <w:name w:val="cudoc Badge"/>
    <w:basedOn w:val="DefaultParagraphFont"/>
    <w:uiPriority w:val="99"/>
    <w:unhideWhenUsed/>
    <w:rPr>
      <w:b/>
      <w:bCs/>
      <w:color w:val="155E75"/>
      <w:sz w:val="17"/>
      <w:szCs w:val="17"/>
      <w:shd w:fill="E0F2FE" w:val="clear"/>
    </w:rPr>
  </w:style>
  <w:style w:type="character" w:styleId="CudocCodeKeyword">
    <w:name w:val="cudoc Code Keyword"/>
    <w:basedOn w:val="CudocCode"/>
    <w:uiPriority w:val="99"/>
    <w:unhideWhenUsed/>
    <w:rPr>
      <w:color w:val="7C3AED"/>
    </w:rPr>
  </w:style>
  <w:style w:type="character" w:styleId="CudocCodeString">
    <w:name w:val="cudoc Code String"/>
    <w:basedOn w:val="CudocCode"/>
    <w:uiPriority w:val="99"/>
    <w:unhideWhenUsed/>
    <w:rPr>
      <w:color w:val="0F766E"/>
    </w:rPr>
  </w:style>
  <w:style w:type="character" w:styleId="CudocCodeComment">
    <w:name w:val="cudoc Code Comment"/>
    <w:basedOn w:val="CudocCode"/>
    <w:uiPriority w:val="99"/>
    <w:unhideWhenUsed/>
    <w:rPr>
      <w:i/>
      <w:iCs/>
      <w:color w:val="5B6B7F"/>
    </w:rPr>
  </w:style>
  <w:style w:type="character" w:styleId="CudocCodeNumber">
    <w:name w:val="cudoc Code Number"/>
    <w:basedOn w:val="CudocCode"/>
    <w:uiPriority w:val="99"/>
    <w:unhideWhenUsed/>
    <w:rPr>
      <w:color w:val="B4530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qc0ujh8e7c5ycocvvmaii" Type="http://schemas.openxmlformats.org/officeDocument/2006/relationships/hyperlink" Target="reference/endpoints.docx" TargetMode="External"/><Relationship Id="rIdmsjreupti7-xfhnn3l4fu" Type="http://schemas.openxmlformats.org/officeDocument/2006/relationships/hyperlink" Target="reference/endpoints.docx" TargetMode="External"/><Relationship Id="rIdvmpckwhgg0-yn6kxdqdzd" Type="http://schemas.openxmlformats.org/officeDocument/2006/relationships/hyperlink" Target="reference/endpoints.docx" TargetMode="External"/><Relationship Id="rIdur6srpy_gsp_jvxct8ych" Type="http://schemas.openxmlformats.org/officeDocument/2006/relationships/hyperlink" Target="reference/endpoints.docx" TargetMode="External"/><Relationship Id="rIdqb4tccojclkolcf5j7h8e" Type="http://schemas.openxmlformats.org/officeDocument/2006/relationships/hyperlink" Target="reference/endpoints.docx" TargetMode="External"/><Relationship Id="rIdfcyvxhyfrr9kus5urluls" Type="http://schemas.openxmlformats.org/officeDocument/2006/relationships/hyperlink" Target="reference/endpoints.docx" TargetMode="External"/><Relationship Id="rIdqgvpdiak-46xuwuhvdkpm" Type="http://schemas.openxmlformats.org/officeDocument/2006/relationships/hyperlink" Target="reference/limits.docx" TargetMode="External"/><Relationship Id="rIdf0zyghcrjf8mmu0_qfdzm" Type="http://schemas.openxmlformats.org/officeDocument/2006/relationships/hyperlink" Target="reference/endpoints.docx" TargetMode="External"/><Relationship Id="rIdax57edeeaibrcotmqdy_2" Type="http://schemas.openxmlformats.org/officeDocument/2006/relationships/hyperlink" Target="reference/endpoints.docx" TargetMode="External"/><Relationship Id="rIdngnxhbaj7ogfqma7qi8_c" Type="http://schemas.openxmlformats.org/officeDocument/2006/relationships/hyperlink" Target="reference/endpoints.docx" TargetMode="External"/><Relationship Id="rId5ivuou4ebut5lp16jccxe" Type="http://schemas.openxmlformats.org/officeDocument/2006/relationships/hyperlink" Target="reference/endpoints.docx" TargetMode="External"/><Relationship Id="rIdif9i5w-zgsghovie-6ntf" Type="http://schemas.openxmlformats.org/officeDocument/2006/relationships/hyperlink" Target="reference/endpoints.docx" TargetMode="External"/><Relationship Id="rIdvfryffx8nwuqgb_erjlny" Type="http://schemas.openxmlformats.org/officeDocument/2006/relationships/hyperlink" Target="reference/endpoints.docx" TargetMode="External"/><Relationship Id="rIdelu3toxbhcsvnaelrlapa" Type="http://schemas.openxmlformats.org/officeDocument/2006/relationships/hyperlink" Target="reference/endpoints.docx" TargetMode="External"/><Relationship Id="rIduplvpj25lvkw2t6ciaca2" Type="http://schemas.openxmlformats.org/officeDocument/2006/relationships/hyperlink" Target="reference/endpoints.docx" TargetMode="External"/><Relationship Id="rIdxqklslhbcyl2hmoux9ozo" Type="http://schemas.openxmlformats.org/officeDocument/2006/relationships/hyperlink" Target="reference/endpoints.docx" TargetMode="External"/><Relationship Id="rId8tktxytqpnaees9uk350w" Type="http://schemas.openxmlformats.org/officeDocument/2006/relationships/hyperlink" Target="release-notes.docx" TargetMode="External"/><Relationship Id="rIdozvwfftbxankv5yzf9_aw" Type="http://schemas.openxmlformats.org/officeDocument/2006/relationships/hyperlink" Target="getting-started.docx" TargetMode="External"/><Relationship Id="rId3rzymsh9vly23ewclqwqk" Type="http://schemas.openxmlformats.org/officeDocument/2006/relationships/hyperlink" Target="reference/limits.docx" TargetMode="External"/><Relationship Id="rIdgh5qqflt5-jrm-rdz0u1k" Type="http://schemas.openxmlformats.org/officeDocument/2006/relationships/hyperlink" Target="reference/errors.docx" TargetMode="External"/><Relationship Id="rIdgtguy5pu21kyj4mzbkteg" Type="http://schemas.openxmlformats.org/officeDocument/2006/relationships/hyperlink" Target="release-notes.docx" TargetMode="External"/><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Northlight Weather API</dc:title>
  <dc:creator>Un-named</dc:creator>
  <cp:lastModifiedBy>Un-named</cp:lastModifiedBy>
  <cp:revision>1</cp:revision>
  <dcterms:created xsi:type="dcterms:W3CDTF">2026-10-23T12:36:41.866Z</dcterms:created>
  <dcterms:modified xsi:type="dcterms:W3CDTF">2026-10-23T12:36:41.866Z</dcterms:modified>
</cp:coreProperties>
</file>

<file path=docProps/custom.xml><?xml version="1.0" encoding="utf-8"?>
<Properties xmlns="http://schemas.openxmlformats.org/officeDocument/2006/custom-properties" xmlns:vt="http://schemas.openxmlformats.org/officeDocument/2006/docPropsVTypes"/>
</file>