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overflowPunct/>
        <w:autoSpaceDN/>
      </w:pPr>
      <w:bookmarkStart w:name="cudoc4Cwq89j0DczewFXNDxbXF9XQo3" w:id="2"/>
      <w:bookmarkEnd w:id="2"/>
      <w:bookmarkStart w:name="cudocclX30dEGlnwUWiJ9iueSqV5zfI" w:id="1"/>
      <w:r>
        <w:t xml:space="preserve">Release notes</w:t>
      </w:r>
      <w:bookmarkEnd w:id="1"/>
    </w:p>
    <w:p>
      <w:pPr>
        <w:pStyle w:val="CudocBody"/>
        <w:overflowPunct/>
        <w:autoSpaceDN/>
      </w:pPr>
      <w:r>
        <w:t xml:space="preserve">Changes to the API, newest first. Dates are the day a change reached every region. Additive changes are listed for information; changes that alter an existing shape are announced under </w:t>
      </w:r>
      <w:hyperlink w:history="1" w:anchor="cudockAVBJFwAw2nwcM4qWPqm3yOAwg">
        <w:r>
          <w:t xml:space="preserve">Upcoming changes</w:t>
        </w:r>
      </w:hyperlink>
      <w:r>
        <w:t xml:space="preserve"> at least ninety days before they take effect.</w:t>
      </w:r>
    </w:p>
    <w:p>
      <w:pPr>
        <w:pStyle w:val="Heading2"/>
        <w:overflowPunct/>
        <w:autoSpaceDN/>
      </w:pPr>
      <w:bookmarkStart w:name="cudockAVBJFwAw2nwcM4qWPqm3yOAwg" w:id="3"/>
      <w:r>
        <w:t xml:space="preserve">Upcoming changes</w:t>
      </w:r>
      <w:bookmarkEnd w:id="3"/>
    </w:p>
    <w:tbl>
      <w:tblPr>
        <w:tblW w:type="pct" w:w="100%"/>
        <w:tblBorders>
          <w:top w:val="single" w:color="E2E8F0" w:sz="4"/>
          <w:left w:val="none" w:color="auto" w:sz="0"/>
          <w:bottom w:val="single" w:color="E2E8F0" w:sz="4"/>
          <w:right w:val="none" w:color="auto" w:sz="0"/>
          <w:insideH w:val="none" w:color="auto" w:sz="0"/>
          <w:insideV w:val="none" w:color="auto" w:sz="0"/>
        </w:tblBorders>
      </w:tblPr>
      <w:tblGrid>
        <w:gridCol w:w="2899"/>
        <w:gridCol w:w="1920"/>
        <w:gridCol w:w="1920"/>
        <w:gridCol w:w="2899"/>
      </w:tblGrid>
      <w:tr>
        <w:trPr>
          <w:cantSplit/>
          <w:tblHeader/>
        </w:trPr>
        <w:tc>
          <w:tcPr>
            <w:tcW w:type="dxa" w:w="2899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Change</w:t>
            </w:r>
          </w:p>
        </w:tc>
        <w:tc>
          <w:tcPr>
            <w:tcW w:type="dxa" w:w="1920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Announced</w:t>
            </w:r>
          </w:p>
        </w:tc>
        <w:tc>
          <w:tcPr>
            <w:tcW w:type="dxa" w:w="1920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Effective</w:t>
            </w:r>
          </w:p>
        </w:tc>
        <w:tc>
          <w:tcPr>
            <w:tcW w:type="dxa" w:w="2899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Affects</w:t>
            </w:r>
          </w:p>
        </w:tc>
      </w:tr>
      <w:tr>
        <w:trPr>
          <w:cantSplit/>
          <w:tblHeader w:val="false"/>
        </w:trPr>
        <w:tc>
          <w:tcPr>
            <w:tcW w:type="dxa" w:w="2899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The </w:t>
            </w:r>
            <w:r>
              <w:rPr>
                <w:rStyle w:val="CudocCode"/>
              </w:rPr>
              <w:t xml:space="preserve">windMs</w:t>
            </w:r>
            <w:r>
              <w:t xml:space="preserve"> and </w:t>
            </w:r>
            <w:r>
              <w:rPr>
                <w:rStyle w:val="CudocCode"/>
              </w:rPr>
              <w:t xml:space="preserve">temperatureC</w:t>
            </w:r>
            <w:r>
              <w:t xml:space="preserve"> aliases leave current conditions; read </w:t>
            </w:r>
            <w:r>
              <w:rPr>
                <w:rStyle w:val="CudocCode"/>
              </w:rPr>
              <w:t xml:space="preserve">windSpeed</w:t>
            </w:r>
            <w:r>
              <w:t xml:space="preserve">, </w:t>
            </w:r>
            <w:r>
              <w:rPr>
                <w:rStyle w:val="CudocCode"/>
              </w:rPr>
              <w:t xml:space="preserve">temperature</w:t>
            </w:r>
            <w:r>
              <w:t xml:space="preserve"> and </w:t>
            </w:r>
            <w:r>
              <w:rPr>
                <w:rStyle w:val="CudocCode"/>
              </w:rPr>
              <w:t xml:space="preserve">units</w:t>
            </w:r>
            <w:r>
              <w:t xml:space="preserve">.</w:t>
            </w:r>
          </w:p>
        </w:tc>
        <w:tc>
          <w:tcPr>
            <w:tcW w:type="dxa" w:w="1920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2026-09-15</w:t>
            </w:r>
          </w:p>
        </w:tc>
        <w:tc>
          <w:tcPr>
            <w:tcW w:type="dxa" w:w="1920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2026-12-15</w:t>
            </w:r>
          </w:p>
        </w:tc>
        <w:tc>
          <w:tcPr>
            <w:tcW w:type="dxa" w:w="2899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Current conditions, history</w:t>
            </w:r>
          </w:p>
        </w:tc>
      </w:tr>
      <w:tr>
        <w:trPr>
          <w:cantSplit/>
          <w:tblHeader w:val="false"/>
        </w:trPr>
        <w:tc>
          <w:tcPr>
            <w:tcW w:type="dxa" w:w="2899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Weather alerts leave beta; </w:t>
            </w:r>
            <w:r>
              <w:rPr>
                <w:rStyle w:val="CudocCode"/>
              </w:rPr>
              <w:t xml:space="preserve">headline</w:t>
            </w:r>
            <w:r>
              <w:t xml:space="preserve"> becomes an object with one entry per language.</w:t>
            </w:r>
          </w:p>
        </w:tc>
        <w:tc>
          <w:tcPr>
            <w:tcW w:type="dxa" w:w="1920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2026-09-15</w:t>
            </w:r>
          </w:p>
        </w:tc>
        <w:tc>
          <w:tcPr>
            <w:tcW w:type="dxa" w:w="1920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2026-10-15</w:t>
            </w:r>
          </w:p>
        </w:tc>
        <w:tc>
          <w:tcPr>
            <w:tcW w:type="dxa" w:w="2899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Weather alerts</w:t>
            </w:r>
          </w:p>
        </w:tc>
      </w:tr>
      <w:tr>
        <w:trPr>
          <w:cantSplit/>
          <w:tblHeader w:val="false"/>
        </w:trPr>
        <w:tc>
          <w:tcPr>
            <w:tcW w:type="dxa" w:w="2899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Cursor expiry shortens from one hour to ten minutes.</w:t>
            </w:r>
          </w:p>
        </w:tc>
        <w:tc>
          <w:tcPr>
            <w:tcW w:type="dxa" w:w="192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2026-07-02</w:t>
            </w:r>
          </w:p>
        </w:tc>
        <w:tc>
          <w:tcPr>
            <w:tcW w:type="dxa" w:w="192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2026-10-01</w:t>
            </w:r>
          </w:p>
        </w:tc>
        <w:tc>
          <w:tcPr>
            <w:tcW w:type="dxa" w:w="2899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Station directory, history</w:t>
            </w:r>
          </w:p>
        </w:tc>
      </w:tr>
    </w:tbl>
    <w:p>
      <w:pPr>
        <w:pStyle w:val="Heading2"/>
        <w:overflowPunct/>
        <w:autoSpaceDN/>
      </w:pPr>
      <w:bookmarkStart w:name="cudocxWTEo3eYpQ0Ng2rEeqmTuB2wvm" w:id="4"/>
      <w:r>
        <w:t xml:space="preserve">2026-09-15  </w:t>
      </w:r>
      <w:r>
        <w:rPr>
          <w:rStyle w:val="CudocBadge"/>
        </w:rPr>
        <w:t xml:space="preserve"> Latest </w:t>
      </w:r>
      <w:r>
        <w:t xml:space="preserve"/>
      </w:r>
      <w:bookmarkEnd w:id="4"/>
    </w:p>
    <w:p>
      <w:pPr>
        <w:pStyle w:val="CudocListItem"/>
        <w:numPr>
          <w:ilvl w:val="0"/>
          <w:numId w:val="2"/>
        </w:numPr>
        <w:overflowPunct/>
        <w:autoSpaceDN/>
      </w:pPr>
      <w:r>
        <w:rPr>
          <w:rStyle w:val="CudocCode"/>
        </w:rPr>
        <w:t xml:space="preserve">fields</w:t>
      </w:r>
      <w:r>
        <w:t xml:space="preserve"> on the hourly forecast accepts </w:t>
      </w:r>
      <w:r>
        <w:rPr>
          <w:rStyle w:val="CudocCode"/>
        </w:rPr>
        <w:t xml:space="preserve">precipitation</w:t>
      </w:r>
      <w:r>
        <w:t xml:space="preserve">, returning probability and expected amount, and </w:t>
      </w:r>
      <w:r>
        <w:rPr>
          <w:rStyle w:val="CudocCode"/>
        </w:rPr>
        <w:t xml:space="preserve">cloudCover</w:t>
      </w:r>
      <w:r>
        <w:t xml:space="preserve">. → </w:t>
      </w:r>
      <w:hyperlink w:history="1" r:id="rIdfkbhkngwprkogrosu0luv">
        <w:r>
          <w:t xml:space="preserve">Hourly forecast</w:t>
        </w:r>
      </w:hyperlink>
    </w:p>
    <w:p>
      <w:pPr>
        <w:pStyle w:val="CudocListItem"/>
        <w:numPr>
          <w:ilvl w:val="0"/>
          <w:numId w:val="2"/>
        </w:numPr>
        <w:overflowPunct/>
        <w:autoSpaceDN/>
      </w:pPr>
      <w:r>
        <w:rPr>
          <w:rStyle w:val="CudocCode"/>
        </w:rPr>
        <w:t xml:space="preserve">X-Limit-Hour</w:t>
      </w:r>
      <w:r>
        <w:t xml:space="preserve"> is now sent on every response, not only when the minute window is low.</w:t>
      </w:r>
    </w:p>
    <w:p>
      <w:pPr>
        <w:pStyle w:val="CudocListItem"/>
        <w:numPr>
          <w:ilvl w:val="0"/>
          <w:numId w:val="2"/>
        </w:numPr>
        <w:overflowPunct/>
        <w:autoSpaceDN/>
      </w:pPr>
      <w:r>
        <w:t xml:space="preserve">The hour window is charged in cost units; existing budgets were converted so that no client pays more than before. → </w:t>
      </w:r>
      <w:hyperlink w:history="1" r:id="rIdqs9xkptnr3s91z8sod1ix">
        <w:r>
          <w:t xml:space="preserve">Request costs</w:t>
        </w:r>
      </w:hyperlink>
    </w:p>
    <w:p>
      <w:pPr>
        <w:pStyle w:val="CudocListItem"/>
        <w:numPr>
          <w:ilvl w:val="0"/>
          <w:numId w:val="2"/>
        </w:numPr>
        <w:overflowPunct/>
        <w:autoSpaceDN/>
      </w:pPr>
      <w:r>
        <w:t xml:space="preserve">The weather alerts endpoint opens in beta for the Business and Enterprise plans. → </w:t>
      </w:r>
      <w:hyperlink w:history="1" r:id="rIdqmflz0e_va6ljzbn-qutk">
        <w:r>
          <w:t xml:space="preserve">Weather alerts</w:t>
        </w:r>
      </w:hyperlink>
    </w:p>
    <w:p>
      <w:pPr>
        <w:pStyle w:val="CudocListItem"/>
        <w:numPr>
          <w:ilvl w:val="0"/>
          <w:numId w:val="2"/>
        </w:numPr>
        <w:overflowPunct/>
        <w:autoSpaceDN/>
      </w:pPr>
      <w:r>
        <w:t xml:space="preserve">The synthetic station </w:t>
      </w:r>
      <w:r>
        <w:rPr>
          <w:rStyle w:val="CudocCode"/>
        </w:rPr>
        <w:t xml:space="preserve">TEST-01</w:t>
      </w:r>
      <w:r>
        <w:t xml:space="preserve"> accepts </w:t>
      </w:r>
      <w:r>
        <w:rPr>
          <w:rStyle w:val="CudocCode"/>
        </w:rPr>
        <w:t xml:space="preserve">simulate</w:t>
      </w:r>
      <w:r>
        <w:t xml:space="preserve"> to reproduce any error code. → </w:t>
      </w:r>
      <w:hyperlink w:history="1" r:id="rIdxm6mwpjolcxjkn4qhlwfd">
        <w:r>
          <w:t xml:space="preserve">Error codes</w:t>
        </w:r>
      </w:hyperlink>
    </w:p>
    <w:p>
      <w:pPr>
        <w:pStyle w:val="Heading2"/>
        <w:overflowPunct/>
        <w:autoSpaceDN/>
      </w:pPr>
      <w:bookmarkStart w:name="cudoct6XhcNmIS9p2vPIuabiAARubwC" w:id="5"/>
      <w:r>
        <w:t xml:space="preserve">2026-07-02</w:t>
      </w:r>
      <w:bookmarkEnd w:id="5"/>
    </w:p>
    <w:p>
      <w:pPr>
        <w:pStyle w:val="CudocListItem"/>
        <w:numPr>
          <w:ilvl w:val="0"/>
          <w:numId w:val="3"/>
        </w:numPr>
        <w:overflowPunct/>
        <w:autoSpaceDN/>
      </w:pPr>
      <w:r>
        <w:t xml:space="preserve">Readings older than fifteen minutes carry </w:t>
      </w:r>
      <w:r>
        <w:rPr>
          <w:rStyle w:val="CudocCode"/>
        </w:rPr>
        <w:t xml:space="preserve">stale: true</w:t>
      </w:r>
      <w:r>
        <w:t xml:space="preserve"> instead of being withheld.</w:t>
      </w:r>
    </w:p>
    <w:p>
      <w:pPr>
        <w:pStyle w:val="CudocListItem"/>
        <w:numPr>
          <w:ilvl w:val="0"/>
          <w:numId w:val="3"/>
        </w:numPr>
        <w:overflowPunct/>
        <w:autoSpaceDN/>
      </w:pPr>
      <w:r>
        <w:t xml:space="preserve">The </w:t>
      </w:r>
      <w:r>
        <w:rPr>
          <w:rStyle w:val="CudocCode"/>
        </w:rPr>
        <w:t xml:space="preserve">station_retired</w:t>
      </w:r>
      <w:r>
        <w:t xml:space="preserve"> error replaces a generic </w:t>
      </w:r>
      <w:r>
        <w:rPr>
          <w:rStyle w:val="CudocCode"/>
        </w:rPr>
        <w:t xml:space="preserve">404</w:t>
      </w:r>
      <w:r>
        <w:t xml:space="preserve"> for stations that stopped reporting permanently.</w:t>
      </w:r>
    </w:p>
    <w:p>
      <w:pPr>
        <w:pStyle w:val="CudocListItem"/>
        <w:numPr>
          <w:ilvl w:val="0"/>
          <w:numId w:val="3"/>
        </w:numPr>
        <w:overflowPunct/>
        <w:autoSpaceDN/>
      </w:pPr>
      <w:r>
        <w:t xml:space="preserve">Observation history accepts </w:t>
      </w:r>
      <w:r>
        <w:rPr>
          <w:rStyle w:val="CudocCode"/>
        </w:rPr>
        <w:t xml:space="preserve">step=1d</w:t>
      </w:r>
      <w:r>
        <w:t xml:space="preserve">, returning daily means with the minimum and maximum temperature.</w:t>
      </w:r>
    </w:p>
    <w:p>
      <w:pPr>
        <w:pStyle w:val="CudocListItem"/>
        <w:numPr>
          <w:ilvl w:val="0"/>
          <w:numId w:val="3"/>
        </w:numPr>
        <w:overflowPunct/>
        <w:autoSpaceDN/>
      </w:pPr>
      <w:r>
        <w:t xml:space="preserve">Station detail returns </w:t>
      </w:r>
      <w:r>
        <w:rPr>
          <w:rStyle w:val="CudocCode"/>
        </w:rPr>
        <w:t xml:space="preserve">timezone</w:t>
      </w:r>
      <w:r>
        <w:t xml:space="preserve">, </w:t>
      </w:r>
      <w:r>
        <w:rPr>
          <w:rStyle w:val="CudocCode"/>
        </w:rPr>
        <w:t xml:space="preserve">sensors</w:t>
      </w:r>
      <w:r>
        <w:t xml:space="preserve"> and </w:t>
      </w:r>
      <w:r>
        <w:rPr>
          <w:rStyle w:val="CudocCode"/>
        </w:rPr>
        <w:t xml:space="preserve">since</w:t>
      </w:r>
      <w:r>
        <w:t xml:space="preserve">.</w:t>
      </w:r>
    </w:p>
    <w:p>
      <w:pPr>
        <w:pStyle w:val="Heading2"/>
        <w:overflowPunct/>
        <w:autoSpaceDN/>
      </w:pPr>
      <w:bookmarkStart w:name="cudocMVkGwldkMSPB1bDmhLhOTd18Rz" w:id="6"/>
      <w:r>
        <w:t xml:space="preserve">2026-05-20</w:t>
      </w:r>
      <w:bookmarkEnd w:id="6"/>
    </w:p>
    <w:p>
      <w:pPr>
        <w:pStyle w:val="CudocListItem"/>
        <w:numPr>
          <w:ilvl w:val="0"/>
          <w:numId w:val="4"/>
        </w:numPr>
        <w:overflowPunct/>
        <w:autoSpaceDN/>
      </w:pPr>
      <w:r>
        <w:t xml:space="preserve">Daily forecast endpoint added, up to seven days ahead. → </w:t>
      </w:r>
      <w:hyperlink w:history="1" r:id="rIdfgnhyptv0r1ykyibfo-ml">
        <w:r>
          <w:t xml:space="preserve">Daily forecast</w:t>
        </w:r>
      </w:hyperlink>
    </w:p>
    <w:p>
      <w:pPr>
        <w:pStyle w:val="CudocListItem"/>
        <w:numPr>
          <w:ilvl w:val="0"/>
          <w:numId w:val="4"/>
        </w:numPr>
        <w:overflowPunct/>
        <w:autoSpaceDN/>
      </w:pPr>
      <w:r>
        <w:t xml:space="preserve">Every cached response carries an </w:t>
      </w:r>
      <w:r>
        <w:rPr>
          <w:rStyle w:val="CudocCode"/>
        </w:rPr>
        <w:t xml:space="preserve">ETag</w:t>
      </w:r>
      <w:r>
        <w:t xml:space="preserve">, and a </w:t>
      </w:r>
      <w:r>
        <w:rPr>
          <w:rStyle w:val="CudocCode"/>
        </w:rPr>
        <w:t xml:space="preserve">304</w:t>
      </w:r>
      <w:r>
        <w:t xml:space="preserve"> answer counts against no window. → </w:t>
      </w:r>
      <w:hyperlink w:history="1" r:id="rId-i2ymye3-shobuq8xkkog">
        <w:r>
          <w:t xml:space="preserve">Caching</w:t>
        </w:r>
      </w:hyperlink>
    </w:p>
    <w:p>
      <w:pPr>
        <w:pStyle w:val="CudocListItem"/>
        <w:numPr>
          <w:ilvl w:val="0"/>
          <w:numId w:val="4"/>
        </w:numPr>
        <w:overflowPunct/>
        <w:autoSpaceDN/>
      </w:pPr>
      <w:r>
        <w:t xml:space="preserve">The station directory paginates with </w:t>
      </w:r>
      <w:r>
        <w:rPr>
          <w:rStyle w:val="CudocCode"/>
        </w:rPr>
        <w:t xml:space="preserve">limit</w:t>
      </w:r>
      <w:r>
        <w:t xml:space="preserve"> up to 200 rows and a </w:t>
      </w:r>
      <w:r>
        <w:rPr>
          <w:rStyle w:val="CudocCode"/>
        </w:rPr>
        <w:t xml:space="preserve">page.next</w:t>
      </w:r>
      <w:r>
        <w:t xml:space="preserve"> cursor.</w:t>
      </w:r>
    </w:p>
    <w:p>
      <w:pPr>
        <w:pStyle w:val="Heading2"/>
        <w:overflowPunct/>
        <w:autoSpaceDN/>
      </w:pPr>
      <w:bookmarkStart w:name="cudocwwCzsxRxUTGcr8CEiCEESQ398g" w:id="7"/>
      <w:r>
        <w:t xml:space="preserve">2026-04-10</w:t>
      </w:r>
      <w:bookmarkEnd w:id="7"/>
    </w:p>
    <w:p>
      <w:pPr>
        <w:pStyle w:val="CudocListItem"/>
        <w:numPr>
          <w:ilvl w:val="0"/>
          <w:numId w:val="5"/>
        </w:numPr>
        <w:overflowPunct/>
        <w:autoSpaceDN/>
      </w:pPr>
      <w:r>
        <w:t xml:space="preserve">First public release of </w:t>
      </w:r>
      <w:r>
        <w:rPr>
          <w:rStyle w:val="CudocCode"/>
        </w:rPr>
        <w:t xml:space="preserve">/v1</w:t>
      </w:r>
      <w:r>
        <w:t xml:space="preserve">: current conditions, hourly forecast, observation history and the station directory.</w:t>
      </w:r>
    </w:p>
    <w:p>
      <w:pPr>
        <w:pStyle w:val="CudocListItem"/>
        <w:numPr>
          <w:ilvl w:val="0"/>
          <w:numId w:val="5"/>
        </w:numPr>
        <w:overflowPunct/>
        <w:autoSpaceDN/>
      </w:pPr>
      <w:r>
        <w:t xml:space="preserve">Community, Team and Business plans; Enterprise by arrangement.</w:t>
      </w:r>
    </w:p>
    <w:p>
      <w:pPr>
        <w:pStyle w:val="CudocListItem"/>
        <w:numPr>
          <w:ilvl w:val="0"/>
          <w:numId w:val="5"/>
        </w:numPr>
        <w:overflowPunct/>
        <w:autoSpaceDN/>
      </w:pPr>
      <w:r>
        <w:t xml:space="preserve">Test keys and the synthetic station </w:t>
      </w:r>
      <w:r>
        <w:rPr>
          <w:rStyle w:val="CudocCode"/>
        </w:rPr>
        <w:t xml:space="preserve">TEST-01</w:t>
      </w:r>
      <w:r>
        <w:t xml:space="preserve">.</w:t>
      </w:r>
    </w:p>
    <w:p>
      <w:pPr>
        <w:pStyle w:val="CudocCalloutSuccessTitle"/>
        <w:overflowPunct/>
        <w:autoSpaceDN/>
      </w:pPr>
      <w:r>
        <w:t xml:space="preserve">Deprecation policy</w:t>
      </w:r>
    </w:p>
    <w:p>
      <w:pPr>
        <w:pStyle w:val="CudocCalloutSuccess"/>
        <w:overflowPunct/>
        <w:autoSpaceDN/>
      </w:pPr>
      <w:r>
        <w:t xml:space="preserve">A field or endpoint is announced here at least ninety days before it changes shape, and the previous behaviour stays available for that period. Beta endpoints carry a thirty-day notice instead and say so on their reference page.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24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CudocRunning"/>
      <w:tabs>
        <w:tab w:val="center" w:pos="4819"/>
        <w:tab w:val="right" w:pos="9638"/>
      </w:tabs>
    </w:pPr>
    <w:r/>
    <w:r>
      <w:tab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CudocRunning"/>
      <w:tabs>
        <w:tab w:val="center" w:pos="4819"/>
        <w:tab w:val="right" w:pos="9638"/>
      </w:tabs>
    </w:pPr>
    <w:r>
      <w:t xml:space="preserve">Release notes</w:t>
    </w:r>
    <w:r>
      <w:tab/>
    </w:r>
    <w:r>
      <w:tab/>
      <w:t xml:space="preserve">2026-09-22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5" w:hanging="189"/>
      </w:pPr>
      <w:rPr>
        <w:color w:val="5B6B7F"/>
      </w:rPr>
    </w:lvl>
    <w:lvl w:ilvl="1" w15:tentative="1">
      <w:start w:val="1"/>
      <w:numFmt w:val="bullet"/>
      <w:lvlText w:val="◦"/>
      <w:lvlJc w:val="left"/>
      <w:pPr>
        <w:ind w:left="630" w:hanging="189"/>
      </w:pPr>
      <w:rPr>
        <w:color w:val="5B6B7F"/>
      </w:rPr>
    </w:lvl>
    <w:lvl w:ilvl="2" w15:tentative="1">
      <w:start w:val="1"/>
      <w:numFmt w:val="bullet"/>
      <w:lvlText w:val="•"/>
      <w:lvlJc w:val="left"/>
      <w:pPr>
        <w:ind w:left="945" w:hanging="189"/>
      </w:pPr>
      <w:rPr>
        <w:color w:val="5B6B7F"/>
      </w:rPr>
    </w:lvl>
    <w:lvl w:ilvl="3" w15:tentative="1">
      <w:start w:val="1"/>
      <w:numFmt w:val="bullet"/>
      <w:lvlText w:val="◦"/>
      <w:lvlJc w:val="left"/>
      <w:pPr>
        <w:ind w:left="1260" w:hanging="189"/>
      </w:pPr>
      <w:rPr>
        <w:color w:val="5B6B7F"/>
      </w:rPr>
    </w:lvl>
    <w:lvl w:ilvl="4" w15:tentative="1">
      <w:start w:val="1"/>
      <w:numFmt w:val="bullet"/>
      <w:lvlText w:val="•"/>
      <w:lvlJc w:val="left"/>
      <w:pPr>
        <w:ind w:left="1575" w:hanging="189"/>
      </w:pPr>
      <w:rPr>
        <w:color w:val="5B6B7F"/>
      </w:rPr>
    </w:lvl>
    <w:lvl w:ilvl="5" w15:tentative="1">
      <w:start w:val="1"/>
      <w:numFmt w:val="bullet"/>
      <w:lvlText w:val="◦"/>
      <w:lvlJc w:val="left"/>
      <w:pPr>
        <w:ind w:left="1890" w:hanging="189"/>
      </w:pPr>
      <w:rPr>
        <w:color w:val="5B6B7F"/>
      </w:rPr>
    </w:lvl>
    <w:lvl w:ilvl="6" w15:tentative="1">
      <w:start w:val="1"/>
      <w:numFmt w:val="bullet"/>
      <w:lvlText w:val="•"/>
      <w:lvlJc w:val="left"/>
      <w:pPr>
        <w:ind w:left="2205" w:hanging="189"/>
      </w:pPr>
      <w:rPr>
        <w:color w:val="5B6B7F"/>
      </w:rPr>
    </w:lvl>
    <w:lvl w:ilvl="7" w15:tentative="1">
      <w:start w:val="1"/>
      <w:numFmt w:val="bullet"/>
      <w:lvlText w:val="◦"/>
      <w:lvlJc w:val="left"/>
      <w:pPr>
        <w:ind w:left="2520" w:hanging="189"/>
      </w:pPr>
      <w:rPr>
        <w:color w:val="5B6B7F"/>
      </w:rPr>
    </w:lvl>
    <w:lvl w:ilvl="8" w15:tentative="1">
      <w:start w:val="1"/>
      <w:numFmt w:val="bullet"/>
      <w:lvlText w:val="•"/>
      <w:lvlJc w:val="left"/>
      <w:pPr>
        <w:ind w:left="2835" w:hanging="189"/>
      </w:pPr>
      <w:rPr>
        <w:color w:val="5B6B7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15" w:hanging="189"/>
      </w:pPr>
      <w:rPr>
        <w:color w:val="5B6B7F"/>
      </w:rPr>
    </w:lvl>
    <w:lvl w:ilvl="1" w15:tentative="1">
      <w:start w:val="1"/>
      <w:numFmt w:val="decimal"/>
      <w:lvlText w:val="%2."/>
      <w:lvlJc w:val="left"/>
      <w:pPr>
        <w:ind w:left="630" w:hanging="189"/>
      </w:pPr>
      <w:rPr>
        <w:color w:val="5B6B7F"/>
      </w:rPr>
    </w:lvl>
    <w:lvl w:ilvl="2" w15:tentative="1">
      <w:start w:val="1"/>
      <w:numFmt w:val="decimal"/>
      <w:lvlText w:val="%3."/>
      <w:lvlJc w:val="left"/>
      <w:pPr>
        <w:ind w:left="945" w:hanging="189"/>
      </w:pPr>
      <w:rPr>
        <w:color w:val="5B6B7F"/>
      </w:rPr>
    </w:lvl>
    <w:lvl w:ilvl="3" w15:tentative="1">
      <w:start w:val="1"/>
      <w:numFmt w:val="decimal"/>
      <w:lvlText w:val="%4."/>
      <w:lvlJc w:val="left"/>
      <w:pPr>
        <w:ind w:left="1260" w:hanging="189"/>
      </w:pPr>
      <w:rPr>
        <w:color w:val="5B6B7F"/>
      </w:rPr>
    </w:lvl>
    <w:lvl w:ilvl="4" w15:tentative="1">
      <w:start w:val="1"/>
      <w:numFmt w:val="decimal"/>
      <w:lvlText w:val="%5."/>
      <w:lvlJc w:val="left"/>
      <w:pPr>
        <w:ind w:left="1575" w:hanging="189"/>
      </w:pPr>
      <w:rPr>
        <w:color w:val="5B6B7F"/>
      </w:rPr>
    </w:lvl>
    <w:lvl w:ilvl="5" w15:tentative="1">
      <w:start w:val="1"/>
      <w:numFmt w:val="decimal"/>
      <w:lvlText w:val="%6."/>
      <w:lvlJc w:val="left"/>
      <w:pPr>
        <w:ind w:left="1890" w:hanging="189"/>
      </w:pPr>
      <w:rPr>
        <w:color w:val="5B6B7F"/>
      </w:rPr>
    </w:lvl>
    <w:lvl w:ilvl="6" w15:tentative="1">
      <w:start w:val="1"/>
      <w:numFmt w:val="decimal"/>
      <w:lvlText w:val="%7."/>
      <w:lvlJc w:val="left"/>
      <w:pPr>
        <w:ind w:left="2205" w:hanging="189"/>
      </w:pPr>
      <w:rPr>
        <w:color w:val="5B6B7F"/>
      </w:rPr>
    </w:lvl>
    <w:lvl w:ilvl="7" w15:tentative="1">
      <w:start w:val="1"/>
      <w:numFmt w:val="decimal"/>
      <w:lvlText w:val="%8."/>
      <w:lvlJc w:val="left"/>
      <w:pPr>
        <w:ind w:left="2520" w:hanging="189"/>
      </w:pPr>
      <w:rPr>
        <w:color w:val="5B6B7F"/>
      </w:rPr>
    </w:lvl>
    <w:lvl w:ilvl="8" w15:tentative="1">
      <w:start w:val="1"/>
      <w:numFmt w:val="decimal"/>
      <w:lvlText w:val="%9."/>
      <w:lvlJc w:val="left"/>
      <w:pPr>
        <w:ind w:left="2835" w:hanging="189"/>
      </w:pPr>
      <w:rPr>
        <w:color w:val="5B6B7F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0" w:hanging="126"/>
      </w:pPr>
      <w:rPr>
        <w:color w:val="5B6B7F"/>
      </w:rPr>
    </w:lvl>
    <w:lvl w:ilvl="1" w15:tentative="1">
      <w:start w:val="1"/>
      <w:numFmt w:val="bullet"/>
      <w:lvlText w:val="◦"/>
      <w:lvlJc w:val="left"/>
      <w:pPr>
        <w:ind w:left="420" w:hanging="126"/>
      </w:pPr>
      <w:rPr>
        <w:color w:val="5B6B7F"/>
      </w:rPr>
    </w:lvl>
    <w:lvl w:ilvl="2" w15:tentative="1">
      <w:start w:val="1"/>
      <w:numFmt w:val="bullet"/>
      <w:lvlText w:val="•"/>
      <w:lvlJc w:val="left"/>
      <w:pPr>
        <w:ind w:left="630" w:hanging="126"/>
      </w:pPr>
      <w:rPr>
        <w:color w:val="5B6B7F"/>
      </w:rPr>
    </w:lvl>
    <w:lvl w:ilvl="3" w15:tentative="1">
      <w:start w:val="1"/>
      <w:numFmt w:val="bullet"/>
      <w:lvlText w:val="◦"/>
      <w:lvlJc w:val="left"/>
      <w:pPr>
        <w:ind w:left="840" w:hanging="126"/>
      </w:pPr>
      <w:rPr>
        <w:color w:val="5B6B7F"/>
      </w:rPr>
    </w:lvl>
    <w:lvl w:ilvl="4" w15:tentative="1">
      <w:start w:val="1"/>
      <w:numFmt w:val="bullet"/>
      <w:lvlText w:val="•"/>
      <w:lvlJc w:val="left"/>
      <w:pPr>
        <w:ind w:left="1050" w:hanging="126"/>
      </w:pPr>
      <w:rPr>
        <w:color w:val="5B6B7F"/>
      </w:rPr>
    </w:lvl>
    <w:lvl w:ilvl="5" w15:tentative="1">
      <w:start w:val="1"/>
      <w:numFmt w:val="bullet"/>
      <w:lvlText w:val="◦"/>
      <w:lvlJc w:val="left"/>
      <w:pPr>
        <w:ind w:left="1260" w:hanging="126"/>
      </w:pPr>
      <w:rPr>
        <w:color w:val="5B6B7F"/>
      </w:rPr>
    </w:lvl>
    <w:lvl w:ilvl="6" w15:tentative="1">
      <w:start w:val="1"/>
      <w:numFmt w:val="bullet"/>
      <w:lvlText w:val="•"/>
      <w:lvlJc w:val="left"/>
      <w:pPr>
        <w:ind w:left="1470" w:hanging="126"/>
      </w:pPr>
      <w:rPr>
        <w:color w:val="5B6B7F"/>
      </w:rPr>
    </w:lvl>
    <w:lvl w:ilvl="7" w15:tentative="1">
      <w:start w:val="1"/>
      <w:numFmt w:val="bullet"/>
      <w:lvlText w:val="◦"/>
      <w:lvlJc w:val="left"/>
      <w:pPr>
        <w:ind w:left="1680" w:hanging="126"/>
      </w:pPr>
      <w:rPr>
        <w:color w:val="5B6B7F"/>
      </w:rPr>
    </w:lvl>
    <w:lvl w:ilvl="8" w15:tentative="1">
      <w:start w:val="1"/>
      <w:numFmt w:val="bullet"/>
      <w:lvlText w:val="•"/>
      <w:lvlJc w:val="left"/>
      <w:pPr>
        <w:ind w:left="1890" w:hanging="126"/>
      </w:pPr>
      <w:rPr>
        <w:color w:val="5B6B7F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10" w:hanging="126"/>
      </w:pPr>
      <w:rPr>
        <w:color w:val="5B6B7F"/>
      </w:rPr>
    </w:lvl>
    <w:lvl w:ilvl="1" w15:tentative="1">
      <w:start w:val="1"/>
      <w:numFmt w:val="decimal"/>
      <w:lvlText w:val="%2."/>
      <w:lvlJc w:val="left"/>
      <w:pPr>
        <w:ind w:left="420" w:hanging="126"/>
      </w:pPr>
      <w:rPr>
        <w:color w:val="5B6B7F"/>
      </w:rPr>
    </w:lvl>
    <w:lvl w:ilvl="2" w15:tentative="1">
      <w:start w:val="1"/>
      <w:numFmt w:val="decimal"/>
      <w:lvlText w:val="%3."/>
      <w:lvlJc w:val="left"/>
      <w:pPr>
        <w:ind w:left="630" w:hanging="126"/>
      </w:pPr>
      <w:rPr>
        <w:color w:val="5B6B7F"/>
      </w:rPr>
    </w:lvl>
    <w:lvl w:ilvl="3" w15:tentative="1">
      <w:start w:val="1"/>
      <w:numFmt w:val="decimal"/>
      <w:lvlText w:val="%4."/>
      <w:lvlJc w:val="left"/>
      <w:pPr>
        <w:ind w:left="840" w:hanging="126"/>
      </w:pPr>
      <w:rPr>
        <w:color w:val="5B6B7F"/>
      </w:rPr>
    </w:lvl>
    <w:lvl w:ilvl="4" w15:tentative="1">
      <w:start w:val="1"/>
      <w:numFmt w:val="decimal"/>
      <w:lvlText w:val="%5."/>
      <w:lvlJc w:val="left"/>
      <w:pPr>
        <w:ind w:left="1050" w:hanging="126"/>
      </w:pPr>
      <w:rPr>
        <w:color w:val="5B6B7F"/>
      </w:rPr>
    </w:lvl>
    <w:lvl w:ilvl="5" w15:tentative="1">
      <w:start w:val="1"/>
      <w:numFmt w:val="decimal"/>
      <w:lvlText w:val="%6."/>
      <w:lvlJc w:val="left"/>
      <w:pPr>
        <w:ind w:left="1260" w:hanging="126"/>
      </w:pPr>
      <w:rPr>
        <w:color w:val="5B6B7F"/>
      </w:rPr>
    </w:lvl>
    <w:lvl w:ilvl="6" w15:tentative="1">
      <w:start w:val="1"/>
      <w:numFmt w:val="decimal"/>
      <w:lvlText w:val="%7."/>
      <w:lvlJc w:val="left"/>
      <w:pPr>
        <w:ind w:left="1470" w:hanging="126"/>
      </w:pPr>
      <w:rPr>
        <w:color w:val="5B6B7F"/>
      </w:rPr>
    </w:lvl>
    <w:lvl w:ilvl="7" w15:tentative="1">
      <w:start w:val="1"/>
      <w:numFmt w:val="decimal"/>
      <w:lvlText w:val="%8."/>
      <w:lvlJc w:val="left"/>
      <w:pPr>
        <w:ind w:left="1680" w:hanging="126"/>
      </w:pPr>
      <w:rPr>
        <w:color w:val="5B6B7F"/>
      </w:rPr>
    </w:lvl>
    <w:lvl w:ilvl="8" w15:tentative="1">
      <w:start w:val="1"/>
      <w:numFmt w:val="decimal"/>
      <w:lvlText w:val="%9."/>
      <w:lvlJc w:val="left"/>
      <w:pPr>
        <w:ind w:left="1890" w:hanging="126"/>
      </w:pPr>
      <w:rPr>
        <w:color w:val="5B6B7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algun Gothic" w:hAnsi="Calibri"/>
        <w:color w:val="1E293B"/>
        <w:sz w:val="20"/>
        <w:szCs w:val="20"/>
      </w:rPr>
    </w:rPrDefault>
    <w:pPrDefault>
      <w:pPr>
        <w:spacing w:after="21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58" w:before="420" w:line="260"/>
    </w:pPr>
    <w:rPr>
      <w:rFonts w:ascii="Calibri" w:cs="Calibri" w:eastAsia="Malgun Gothic" w:hAnsi="Calibri"/>
      <w:b/>
      <w:bCs/>
      <w:color w:val="1E293B"/>
      <w:sz w:val="42"/>
      <w:szCs w:val="42"/>
    </w:rPr>
  </w:style>
  <w:style w:type="paragraph" w:styleId="Heading2">
    <w:name w:val="Heading 2"/>
    <w:basedOn w:val="Normal"/>
    <w:next w:val="Normal"/>
    <w:qFormat/>
    <w:pPr>
      <w:keepNext/>
      <w:pBdr>
        <w:top w:val="single" w:color="E2E8F0" w:sz="8"/>
      </w:pBdr>
      <w:spacing w:after="158" w:before="315" w:line="260"/>
    </w:pPr>
    <w:rPr>
      <w:rFonts w:ascii="Calibri" w:cs="Calibri" w:eastAsia="Malgun Gothic" w:hAnsi="Calibri"/>
      <w:b/>
      <w:bCs/>
      <w:color w:val="1E293B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58" w:before="315" w:line="260"/>
    </w:pPr>
    <w:rPr>
      <w:rFonts w:ascii="Calibri" w:cs="Calibri" w:eastAsia="Malgun Gothic" w:hAnsi="Calibri"/>
      <w:b/>
      <w:bCs/>
      <w:color w:val="1E293B"/>
      <w:sz w:val="25"/>
      <w:szCs w:val="25"/>
    </w:rPr>
  </w:style>
  <w:style w:type="paragraph" w:styleId="Heading4">
    <w:name w:val="Heading 4"/>
    <w:basedOn w:val="Normal"/>
    <w:next w:val="Normal"/>
    <w:qFormat/>
    <w:pPr>
      <w:keepNext/>
      <w:spacing w:after="158" w:before="315" w:line="260"/>
    </w:pPr>
    <w:rPr>
      <w:rFonts w:ascii="Calibri" w:cs="Calibri" w:eastAsia="Malgun Gothic" w:hAnsi="Calibri"/>
      <w:b/>
      <w:bCs/>
      <w:color w:val="475569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158" w:before="315" w:line="260"/>
    </w:pPr>
    <w:rPr>
      <w:rFonts w:ascii="Calibri" w:cs="Calibri" w:eastAsia="Malgun Gothic" w:hAnsi="Calibri"/>
      <w:b/>
      <w:bCs/>
      <w:color w:val="475569"/>
      <w:sz w:val="20"/>
      <w:szCs w:val="20"/>
    </w:rPr>
  </w:style>
  <w:style w:type="paragraph" w:styleId="Heading6">
    <w:name w:val="Heading 6"/>
    <w:basedOn w:val="Normal"/>
    <w:next w:val="Normal"/>
    <w:qFormat/>
    <w:pPr>
      <w:keepNext/>
      <w:spacing w:after="158" w:before="315" w:line="260"/>
    </w:pPr>
    <w:rPr>
      <w:rFonts w:ascii="Calibri" w:cs="Calibri" w:eastAsia="Malgun Gothic" w:hAnsi="Calibri"/>
      <w:b/>
      <w:bCs/>
      <w:color w:val="475569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155E75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color w:val="155E75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53" w:line="240"/>
    </w:pPr>
    <w:rPr>
      <w:rFonts w:ascii="Calibri" w:cs="Calibri" w:eastAsia="Malgun Gothic" w:hAnsi="Calibri"/>
      <w:color w:val="475569"/>
      <w:sz w:val="18"/>
      <w:szCs w:val="18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udocBody">
    <w:name w:val="cudoc Body"/>
    <w:basedOn w:val="Normal"/>
    <w:next w:val="CudocBody"/>
    <w:qFormat/>
    <w:pPr>
      <w:spacing w:after="210" w:line="340"/>
    </w:pPr>
    <w:rPr>
      <w:rFonts w:ascii="Calibri" w:cs="Calibri" w:eastAsia="Malgun Gothic" w:hAnsi="Calibri"/>
      <w:color w:val="1E293B"/>
      <w:sz w:val="20"/>
      <w:szCs w:val="20"/>
    </w:rPr>
  </w:style>
  <w:style w:type="paragraph" w:styleId="CudocQuote">
    <w:name w:val="cudoc Quote"/>
    <w:basedOn w:val="CudocBody"/>
    <w:next w:val="CudocBody"/>
    <w:pPr>
      <w:pBdr>
        <w:left w:val="single" w:color="E2E8F0" w:sz="12"/>
      </w:pBdr>
      <w:ind w:left="210"/>
    </w:pPr>
    <w:rPr>
      <w:color w:val="475569"/>
    </w:rPr>
  </w:style>
  <w:style w:type="paragraph" w:styleId="CudocListItem">
    <w:name w:val="cudoc List Item"/>
    <w:basedOn w:val="CudocBody"/>
    <w:next w:val="CudocListItem"/>
    <w:pPr>
      <w:spacing w:after="53"/>
    </w:pPr>
  </w:style>
  <w:style w:type="paragraph" w:styleId="CudocSpacer">
    <w:name w:val="cudoc Spacer"/>
    <w:basedOn w:val="Normal"/>
    <w:next w:val="CudocBody"/>
    <w:pPr>
      <w:spacing w:after="0" w:before="0" w:line="240"/>
    </w:pPr>
    <w:rPr>
      <w:sz w:val="2"/>
      <w:szCs w:val="2"/>
    </w:rPr>
  </w:style>
  <w:style w:type="paragraph" w:styleId="CudocCodeBlock">
    <w:name w:val="cudoc Code Block"/>
    <w:basedOn w:val="Normal"/>
    <w:next w:val="CudocBody"/>
    <w:pPr>
      <w:keepLines/>
      <w:pBdr>
        <w:top w:val="single" w:color="F1F5F9" w:sz="4" w:space="5"/>
        <w:bottom w:val="single" w:color="F1F5F9" w:sz="4" w:space="5"/>
        <w:left w:val="single" w:color="F1F5F9" w:sz="4" w:space="5"/>
        <w:right w:val="single" w:color="F1F5F9" w:sz="4" w:space="5"/>
      </w:pBdr>
      <w:shd w:fill="F1F5F9" w:val="clear"/>
      <w:spacing w:after="0" w:before="0" w:line="320"/>
    </w:pPr>
    <w:rPr>
      <w:rFonts w:ascii="Consolas" w:cs="Consolas" w:eastAsia="Malgun Gothic" w:hAnsi="Consolas"/>
      <w:color w:val="1E293B"/>
      <w:sz w:val="18"/>
      <w:szCs w:val="18"/>
    </w:rPr>
  </w:style>
  <w:style w:type="paragraph" w:styleId="CudocCodeHighlighted">
    <w:name w:val="cudoc Code Highlighted"/>
    <w:basedOn w:val="CudocCodeBlock"/>
    <w:next w:val="CudocCodeBlock"/>
    <w:pPr>
      <w:shd w:fill="E0F2FE" w:val="clear"/>
    </w:pPr>
  </w:style>
  <w:style w:type="paragraph" w:styleId="CudocTableHeader">
    <w:name w:val="cudoc Table Header"/>
    <w:basedOn w:val="Normal"/>
    <w:next w:val="CudocTableCell"/>
    <w:pPr>
      <w:keepNext/>
      <w:spacing w:after="0" w:before="0" w:line="240"/>
    </w:pPr>
    <w:rPr>
      <w:rFonts w:ascii="Calibri" w:cs="Calibri" w:eastAsia="Malgun Gothic" w:hAnsi="Calibri"/>
      <w:b/>
      <w:bCs/>
      <w:color w:val="475569"/>
      <w:sz w:val="18"/>
      <w:szCs w:val="18"/>
    </w:rPr>
  </w:style>
  <w:style w:type="paragraph" w:styleId="CudocTableCell">
    <w:name w:val="cudoc Table Cell"/>
    <w:basedOn w:val="Normal"/>
    <w:next w:val="CudocTableCell"/>
    <w:pPr>
      <w:spacing w:after="0" w:before="0" w:line="300"/>
    </w:pPr>
    <w:rPr>
      <w:rFonts w:ascii="Calibri" w:cs="Calibri" w:eastAsia="Malgun Gothic" w:hAnsi="Calibri"/>
      <w:color w:val="1E293B"/>
      <w:sz w:val="18"/>
      <w:szCs w:val="18"/>
    </w:rPr>
  </w:style>
  <w:style w:type="paragraph" w:styleId="CudocCaption">
    <w:name w:val="cudoc Caption"/>
    <w:basedOn w:val="Normal"/>
    <w:next w:val="CudocBody"/>
    <w:pPr>
      <w:spacing w:after="210"/>
    </w:pPr>
    <w:rPr>
      <w:rFonts w:ascii="Calibri" w:cs="Calibri" w:eastAsia="Malgun Gothic" w:hAnsi="Calibri"/>
      <w:i/>
      <w:iCs/>
      <w:color w:val="5B6B7F"/>
      <w:sz w:val="17"/>
      <w:szCs w:val="17"/>
    </w:rPr>
  </w:style>
  <w:style w:type="paragraph" w:styleId="CudocCodeTitle">
    <w:name w:val="cudoc Code Title"/>
    <w:basedOn w:val="Normal"/>
    <w:next w:val="CudocCodeBlock"/>
    <w:pPr>
      <w:keepNext/>
      <w:spacing w:after="0" w:before="210"/>
    </w:pPr>
    <w:rPr>
      <w:rFonts w:ascii="Consolas" w:cs="Consolas" w:eastAsia="Malgun Gothic" w:hAnsi="Consolas"/>
      <w:color w:val="5B6B7F"/>
      <w:sz w:val="17"/>
      <w:szCs w:val="17"/>
    </w:rPr>
  </w:style>
  <w:style w:type="paragraph" w:styleId="CudocTabLabel">
    <w:name w:val="cudoc Tab Label"/>
    <w:basedOn w:val="Normal"/>
    <w:next w:val="CudocBody"/>
    <w:pPr>
      <w:keepNext/>
      <w:spacing w:after="210" w:before="210"/>
    </w:pPr>
    <w:rPr>
      <w:rFonts w:ascii="Calibri" w:cs="Calibri" w:eastAsia="Malgun Gothic" w:hAnsi="Calibri"/>
      <w:b/>
      <w:bCs/>
      <w:color w:val="475569"/>
      <w:sz w:val="18"/>
      <w:szCs w:val="18"/>
    </w:rPr>
  </w:style>
  <w:style w:type="paragraph" w:styleId="CudocTableNote">
    <w:name w:val="cudoc Table Note"/>
    <w:basedOn w:val="Normal"/>
    <w:next w:val="CudocBody"/>
    <w:pPr>
      <w:keepLines/>
      <w:spacing w:after="210"/>
    </w:pPr>
    <w:rPr>
      <w:rFonts w:ascii="Calibri" w:cs="Calibri" w:eastAsia="Malgun Gothic" w:hAnsi="Calibri"/>
      <w:color w:val="5B6B7F"/>
      <w:sz w:val="17"/>
      <w:szCs w:val="17"/>
    </w:rPr>
  </w:style>
  <w:style w:type="paragraph" w:styleId="CudocRule">
    <w:name w:val="cudoc Rule"/>
    <w:basedOn w:val="Normal"/>
    <w:next w:val="CudocBody"/>
    <w:pPr>
      <w:pBdr>
        <w:bottom w:val="single" w:color="E2E8F0" w:sz="8"/>
      </w:pBdr>
      <w:spacing w:after="210" w:before="210"/>
    </w:pPr>
    <w:rPr>
      <w:sz w:val="2"/>
      <w:szCs w:val="2"/>
    </w:rPr>
  </w:style>
  <w:style w:type="paragraph" w:styleId="CudocDetailsSummary">
    <w:name w:val="cudoc Details Summary"/>
    <w:basedOn w:val="CudocBody"/>
    <w:next w:val="CudocDetailsBody"/>
    <w:pPr>
      <w:keepNext/>
      <w:spacing w:after="105"/>
    </w:pPr>
    <w:rPr>
      <w:b/>
      <w:bCs/>
    </w:rPr>
  </w:style>
  <w:style w:type="paragraph" w:styleId="CudocDetailsBody">
    <w:name w:val="cudoc Details Body"/>
    <w:basedOn w:val="CudocBody"/>
    <w:next w:val="CudocDetailsBody"/>
    <w:pPr>
      <w:shd w:fill="F1F5F9" w:val="clear"/>
      <w:ind w:left="210"/>
    </w:pPr>
  </w:style>
  <w:style w:type="paragraph" w:styleId="CudocRunning">
    <w:name w:val="cudoc Running"/>
    <w:basedOn w:val="Normal"/>
    <w:next w:val="CudocRunning"/>
    <w:pPr>
      <w:spacing w:after="0" w:before="0" w:line="240"/>
    </w:pPr>
    <w:rPr>
      <w:rFonts w:ascii="Calibri" w:cs="Calibri" w:eastAsia="Malgun Gothic" w:hAnsi="Calibri"/>
      <w:color w:val="5B6B7F"/>
      <w:sz w:val="17"/>
      <w:szCs w:val="17"/>
    </w:rPr>
  </w:style>
  <w:style w:type="paragraph" w:styleId="CudocCoverTitle">
    <w:name w:val="cudoc Cover Title"/>
    <w:basedOn w:val="Normal"/>
    <w:next w:val="CudocBody"/>
    <w:pPr>
      <w:spacing w:after="0" w:before="10409" w:line="260"/>
    </w:pPr>
    <w:rPr>
      <w:rFonts w:ascii="Calibri" w:cs="Calibri" w:eastAsia="Malgun Gothic" w:hAnsi="Calibri"/>
      <w:b/>
      <w:bCs/>
      <w:color w:val="1E293B"/>
      <w:sz w:val="53"/>
      <w:szCs w:val="53"/>
    </w:rPr>
  </w:style>
  <w:style w:type="paragraph" w:styleId="CudocCoverTitlePanel">
    <w:name w:val="cudoc Cover Title on Image"/>
    <w:basedOn w:val="CudocCoverTitle"/>
    <w:next w:val="CudocBody"/>
    <w:pPr>
      <w:pBdr>
        <w:top w:val="none" w:color="auto" w:sz="0" w:space="8"/>
        <w:bottom w:val="none" w:color="auto" w:sz="0" w:space="8"/>
      </w:pBdr>
      <w:shd w:fill="FFFFFF" w:val="clear"/>
      <w:ind w:left="315" w:right="315"/>
    </w:pPr>
  </w:style>
  <w:style w:type="paragraph" w:styleId="CudocContentsTitle">
    <w:name w:val="cudoc Contents Title"/>
    <w:basedOn w:val="Normal"/>
    <w:next w:val="TOC1"/>
    <w:pPr>
      <w:keepNext/>
      <w:spacing w:after="210" w:before="315" w:line="260"/>
    </w:pPr>
    <w:rPr>
      <w:rFonts w:ascii="Calibri" w:cs="Calibri" w:eastAsia="Malgun Gothic" w:hAnsi="Calibri"/>
      <w:b/>
      <w:bCs/>
      <w:color w:val="1E293B"/>
      <w:sz w:val="32"/>
      <w:szCs w:val="32"/>
    </w:rPr>
  </w:style>
  <w:style w:type="paragraph" w:styleId="TOC1">
    <w:name w:val="toc 1"/>
    <w:basedOn w:val="CudocBody"/>
    <w:next w:val="TOC1"/>
    <w:pPr>
      <w:spacing w:after="53" w:before="53"/>
    </w:pPr>
  </w:style>
  <w:style w:type="paragraph" w:styleId="CudocFootnote">
    <w:name w:val="cudoc Footnote"/>
    <w:basedOn w:val="Normal"/>
    <w:next w:val="CudocFootnote"/>
    <w:pPr>
      <w:spacing w:after="53" w:line="240"/>
    </w:pPr>
    <w:rPr>
      <w:rFonts w:ascii="Calibri" w:cs="Calibri" w:eastAsia="Malgun Gothic" w:hAnsi="Calibri"/>
      <w:color w:val="475569"/>
      <w:sz w:val="18"/>
      <w:szCs w:val="18"/>
    </w:rPr>
  </w:style>
  <w:style w:type="paragraph" w:styleId="CudocCalloutNote">
    <w:name w:val="cudoc Callout — Note"/>
    <w:basedOn w:val="CudocBody"/>
    <w:next w:val="CudocCalloutNote"/>
    <w:pPr>
      <w:pBdr>
        <w:top w:val="single" w:color="EEF2F7" w:sz="4" w:space="5"/>
        <w:bottom w:val="single" w:color="EEF2F7" w:sz="4" w:space="5"/>
        <w:left w:val="single" w:color="155E75" w:sz="18" w:space="5"/>
        <w:right w:val="single" w:color="EEF2F7" w:sz="4" w:space="5"/>
      </w:pBdr>
      <w:shd w:fill="F1F5F9" w:val="clear"/>
      <w:spacing w:after="53" w:before="53"/>
      <w:ind w:left="210" w:right="210"/>
    </w:pPr>
  </w:style>
  <w:style w:type="paragraph" w:styleId="CudocCalloutNoteTitle">
    <w:name w:val="cudoc Callout — Note Title"/>
    <w:basedOn w:val="CudocCalloutNote"/>
    <w:next w:val="CudocCalloutNote"/>
    <w:pPr>
      <w:keepNext/>
      <w:spacing w:after="0"/>
    </w:pPr>
    <w:rPr>
      <w:b/>
      <w:bCs/>
      <w:color w:val="155E75"/>
    </w:rPr>
  </w:style>
  <w:style w:type="paragraph" w:styleId="CudocCalloutTip">
    <w:name w:val="cudoc Callout — Tip"/>
    <w:basedOn w:val="CudocBody"/>
    <w:next w:val="CudocCalloutTip"/>
    <w:pPr>
      <w:pBdr>
        <w:top w:val="single" w:color="EEF2F7" w:sz="4" w:space="5"/>
        <w:bottom w:val="single" w:color="EEF2F7" w:sz="4" w:space="5"/>
        <w:left w:val="single" w:color="155E75" w:sz="18" w:space="5"/>
        <w:right w:val="single" w:color="EEF2F7" w:sz="4" w:space="5"/>
      </w:pBdr>
      <w:shd w:fill="F1F5F9" w:val="clear"/>
      <w:spacing w:after="53" w:before="53"/>
      <w:ind w:left="210" w:right="210"/>
    </w:pPr>
  </w:style>
  <w:style w:type="paragraph" w:styleId="CudocCalloutTipTitle">
    <w:name w:val="cudoc Callout — Tip Title"/>
    <w:basedOn w:val="CudocCalloutTip"/>
    <w:next w:val="CudocCalloutTip"/>
    <w:pPr>
      <w:keepNext/>
      <w:spacing w:after="0"/>
    </w:pPr>
    <w:rPr>
      <w:b/>
      <w:bCs/>
      <w:color w:val="155E75"/>
    </w:rPr>
  </w:style>
  <w:style w:type="paragraph" w:styleId="CudocCalloutImportant">
    <w:name w:val="cudoc Callout — Important"/>
    <w:basedOn w:val="CudocBody"/>
    <w:next w:val="CudocCalloutImportant"/>
    <w:pPr>
      <w:pBdr>
        <w:top w:val="single" w:color="EEF2F7" w:sz="4" w:space="5"/>
        <w:bottom w:val="single" w:color="EEF2F7" w:sz="4" w:space="5"/>
        <w:left w:val="single" w:color="155E75" w:sz="18" w:space="5"/>
        <w:right w:val="single" w:color="EEF2F7" w:sz="4" w:space="5"/>
      </w:pBdr>
      <w:shd w:fill="F1F5F9" w:val="clear"/>
      <w:spacing w:after="53" w:before="53"/>
      <w:ind w:left="210" w:right="210"/>
    </w:pPr>
  </w:style>
  <w:style w:type="paragraph" w:styleId="CudocCalloutImportantTitle">
    <w:name w:val="cudoc Callout — Important Title"/>
    <w:basedOn w:val="CudocCalloutImportant"/>
    <w:next w:val="CudocCalloutImportant"/>
    <w:pPr>
      <w:keepNext/>
      <w:spacing w:after="0"/>
    </w:pPr>
    <w:rPr>
      <w:b/>
      <w:bCs/>
      <w:color w:val="155E75"/>
    </w:rPr>
  </w:style>
  <w:style w:type="paragraph" w:styleId="CudocCalloutWarning">
    <w:name w:val="cudoc Callout — Warning"/>
    <w:basedOn w:val="CudocBody"/>
    <w:next w:val="CudocCalloutWarning"/>
    <w:pPr>
      <w:pBdr>
        <w:top w:val="single" w:color="EEF2F7" w:sz="4" w:space="5"/>
        <w:bottom w:val="single" w:color="EEF2F7" w:sz="4" w:space="5"/>
        <w:left w:val="single" w:color="B45309" w:sz="18" w:space="5"/>
        <w:right w:val="single" w:color="EEF2F7" w:sz="4" w:space="5"/>
      </w:pBdr>
      <w:shd w:fill="FEF6E7" w:val="clear"/>
      <w:spacing w:after="53" w:before="53"/>
      <w:ind w:left="210" w:right="210"/>
    </w:pPr>
  </w:style>
  <w:style w:type="paragraph" w:styleId="CudocCalloutWarningTitle">
    <w:name w:val="cudoc Callout — Warning Title"/>
    <w:basedOn w:val="CudocCalloutWarning"/>
    <w:next w:val="CudocCalloutWarning"/>
    <w:pPr>
      <w:keepNext/>
      <w:spacing w:after="0"/>
    </w:pPr>
    <w:rPr>
      <w:b/>
      <w:bCs/>
      <w:color w:val="B45309"/>
    </w:rPr>
  </w:style>
  <w:style w:type="paragraph" w:styleId="CudocCalloutCaution">
    <w:name w:val="cudoc Callout — Caution"/>
    <w:basedOn w:val="CudocBody"/>
    <w:next w:val="CudocCalloutCaution"/>
    <w:pPr>
      <w:pBdr>
        <w:top w:val="single" w:color="EEF2F7" w:sz="4" w:space="5"/>
        <w:bottom w:val="single" w:color="EEF2F7" w:sz="4" w:space="5"/>
        <w:left w:val="single" w:color="B91C1C" w:sz="18" w:space="5"/>
        <w:right w:val="single" w:color="EEF2F7" w:sz="4" w:space="5"/>
      </w:pBdr>
      <w:shd w:fill="FDEEEE" w:val="clear"/>
      <w:spacing w:after="53" w:before="53"/>
      <w:ind w:left="210" w:right="210"/>
    </w:pPr>
  </w:style>
  <w:style w:type="paragraph" w:styleId="CudocCalloutCautionTitle">
    <w:name w:val="cudoc Callout — Caution Title"/>
    <w:basedOn w:val="CudocCalloutCaution"/>
    <w:next w:val="CudocCalloutCaution"/>
    <w:pPr>
      <w:keepNext/>
      <w:spacing w:after="0"/>
    </w:pPr>
    <w:rPr>
      <w:b/>
      <w:bCs/>
      <w:color w:val="B91C1C"/>
    </w:rPr>
  </w:style>
  <w:style w:type="paragraph" w:styleId="CudocCalloutSuccess">
    <w:name w:val="cudoc Callout — Success"/>
    <w:basedOn w:val="CudocBody"/>
    <w:next w:val="CudocCalloutSuccess"/>
    <w:pPr>
      <w:pBdr>
        <w:top w:val="single" w:color="EEF2F7" w:sz="4" w:space="5"/>
        <w:bottom w:val="single" w:color="EEF2F7" w:sz="4" w:space="5"/>
        <w:left w:val="single" w:color="155E75" w:sz="18" w:space="5"/>
        <w:right w:val="single" w:color="EEF2F7" w:sz="4" w:space="5"/>
      </w:pBdr>
      <w:shd w:fill="F1F5F9" w:val="clear"/>
      <w:spacing w:after="53" w:before="53"/>
      <w:ind w:left="210" w:right="210"/>
    </w:pPr>
  </w:style>
  <w:style w:type="paragraph" w:styleId="CudocCalloutSuccessTitle">
    <w:name w:val="cudoc Callout — Success Title"/>
    <w:basedOn w:val="CudocCalloutSuccess"/>
    <w:next w:val="CudocCalloutSuccess"/>
    <w:pPr>
      <w:keepNext/>
      <w:spacing w:after="0"/>
    </w:pPr>
    <w:rPr>
      <w:b/>
      <w:bCs/>
      <w:color w:val="155E75"/>
    </w:rPr>
  </w:style>
  <w:style w:type="character" w:styleId="IndexLink">
    <w:name w:val="cudoc Contents Link"/>
    <w:basedOn w:val="DefaultParagraphFont"/>
    <w:uiPriority w:val="99"/>
    <w:unhideWhenUsed/>
    <w:rPr>
      <w:color w:val="1E293B"/>
    </w:rPr>
  </w:style>
  <w:style w:type="character" w:styleId="CudocCode">
    <w:name w:val="cudoc Code"/>
    <w:basedOn w:val="DefaultParagraphFont"/>
    <w:uiPriority w:val="99"/>
    <w:unhideWhenUsed/>
    <w:rPr>
      <w:rFonts w:ascii="Consolas" w:cs="Consolas" w:eastAsia="Malgun Gothic" w:hAnsi="Consolas"/>
      <w:sz w:val="18"/>
      <w:szCs w:val="18"/>
      <w:shd w:fill="F1F5F9" w:val="clear"/>
    </w:rPr>
  </w:style>
  <w:style w:type="character" w:styleId="CudocLinkUrl">
    <w:name w:val="cudoc Link URL"/>
    <w:basedOn w:val="DefaultParagraphFont"/>
    <w:uiPriority w:val="99"/>
    <w:unhideWhenUsed/>
    <w:rPr>
      <w:color w:val="475569"/>
      <w:sz w:val="17"/>
      <w:szCs w:val="17"/>
    </w:rPr>
  </w:style>
  <w:style w:type="character" w:styleId="CudocBadge">
    <w:name w:val="cudoc Badge"/>
    <w:basedOn w:val="DefaultParagraphFont"/>
    <w:uiPriority w:val="99"/>
    <w:unhideWhenUsed/>
    <w:rPr>
      <w:b/>
      <w:bCs/>
      <w:color w:val="155E75"/>
      <w:sz w:val="17"/>
      <w:szCs w:val="17"/>
      <w:shd w:fill="E0F2FE" w:val="clear"/>
    </w:rPr>
  </w:style>
  <w:style w:type="character" w:styleId="CudocCodeKeyword">
    <w:name w:val="cudoc Code Keyword"/>
    <w:basedOn w:val="CudocCode"/>
    <w:uiPriority w:val="99"/>
    <w:unhideWhenUsed/>
    <w:rPr>
      <w:color w:val="7C3AED"/>
    </w:rPr>
  </w:style>
  <w:style w:type="character" w:styleId="CudocCodeString">
    <w:name w:val="cudoc Code String"/>
    <w:basedOn w:val="CudocCode"/>
    <w:uiPriority w:val="99"/>
    <w:unhideWhenUsed/>
    <w:rPr>
      <w:color w:val="0F766E"/>
    </w:rPr>
  </w:style>
  <w:style w:type="character" w:styleId="CudocCodeComment">
    <w:name w:val="cudoc Code Comment"/>
    <w:basedOn w:val="CudocCode"/>
    <w:uiPriority w:val="99"/>
    <w:unhideWhenUsed/>
    <w:rPr>
      <w:i/>
      <w:iCs/>
      <w:color w:val="5B6B7F"/>
    </w:rPr>
  </w:style>
  <w:style w:type="character" w:styleId="CudocCodeNumber">
    <w:name w:val="cudoc Code Number"/>
    <w:basedOn w:val="CudocCode"/>
    <w:uiPriority w:val="99"/>
    <w:unhideWhenUsed/>
    <w:rPr>
      <w:color w:val="B4530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fkbhkngwprkogrosu0luv" Type="http://schemas.openxmlformats.org/officeDocument/2006/relationships/hyperlink" Target="reference/endpoints.docx" TargetMode="External"/><Relationship Id="rIdqs9xkptnr3s91z8sod1ix" Type="http://schemas.openxmlformats.org/officeDocument/2006/relationships/hyperlink" Target="reference/limits.docx" TargetMode="External"/><Relationship Id="rIdqmflz0e_va6ljzbn-qutk" Type="http://schemas.openxmlformats.org/officeDocument/2006/relationships/hyperlink" Target="reference/endpoints.docx" TargetMode="External"/><Relationship Id="rIdxm6mwpjolcxjkn4qhlwfd" Type="http://schemas.openxmlformats.org/officeDocument/2006/relationships/hyperlink" Target="reference/errors.docx" TargetMode="External"/><Relationship Id="rIdfgnhyptv0r1ykyibfo-ml" Type="http://schemas.openxmlformats.org/officeDocument/2006/relationships/hyperlink" Target="reference/endpoints.docx" TargetMode="External"/><Relationship Id="rId-i2ymye3-shobuq8xkkog" Type="http://schemas.openxmlformats.org/officeDocument/2006/relationships/hyperlink" Target="reference/limits.docx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Northlight Weather API</dc:title>
  <dc:creator>Un-named</dc:creator>
  <cp:lastModifiedBy>Un-named</cp:lastModifiedBy>
  <cp:revision>1</cp:revision>
  <dcterms:created xsi:type="dcterms:W3CDTF">2026-10-27T15:51:07.277Z</dcterms:created>
  <dcterms:modified xsi:type="dcterms:W3CDTF">2026-10-27T15:51:07.277Z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