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header+xml" PartName="/word/header4.xml"/>
  <Override ContentType="application/vnd.openxmlformats-officedocument.wordprocessingml.footer+xml" PartName="/word/footer3.xml"/>
  <Override ContentType="application/vnd.openxmlformats-officedocument.wordprocessingml.footer+xml" PartName="/word/footer4.xml"/>
  <Override ContentType="application/vnd.openxmlformats-officedocument.wordprocessingml.header+xml" PartName="/word/header5.xml"/>
  <Override ContentType="application/vnd.openxmlformats-officedocument.wordprocessingml.header+xml" PartName="/word/header6.xml"/>
  <Override ContentType="application/vnd.openxmlformats-officedocument.wordprocessingml.footer+xml" PartName="/word/footer5.xml"/>
  <Override ContentType="application/vnd.openxmlformats-officedocument.wordprocessingml.footer+xml" PartName="/word/footer6.xml"/>
  <Override ContentType="application/vnd.openxmlformats-officedocument.wordprocessingml.header+xml" PartName="/word/header7.xml"/>
  <Override ContentType="application/vnd.openxmlformats-officedocument.wordprocessingml.header+xml" PartName="/word/header8.xml"/>
  <Override ContentType="application/vnd.openxmlformats-officedocument.wordprocessingml.footer+xml" PartName="/word/footer7.xml"/>
  <Override ContentType="application/vnd.openxmlformats-officedocument.wordprocessingml.footer+xml" PartName="/word/footer8.xml"/>
  <Override ContentType="application/vnd.openxmlformats-officedocument.wordprocessingml.header+xml" PartName="/word/header9.xml"/>
  <Override ContentType="application/vnd.openxmlformats-officedocument.wordprocessingml.header+xml" PartName="/word/header10.xml"/>
  <Override ContentType="application/vnd.openxmlformats-officedocument.wordprocessingml.footer+xml" PartName="/word/footer9.xml"/>
  <Override ContentType="application/vnd.openxmlformats-officedocument.wordprocessingml.footer+xml" PartName="/word/footer10.xml"/>
  <Override ContentType="application/vnd.openxmlformats-officedocument.wordprocessingml.header+xml" PartName="/word/header11.xml"/>
  <Override ContentType="application/vnd.openxmlformats-officedocument.wordprocessingml.header+xml" PartName="/word/header12.xml"/>
  <Override ContentType="application/vnd.openxmlformats-officedocument.wordprocessingml.footer+xml" PartName="/word/footer11.xml"/>
  <Override ContentType="application/vnd.openxmlformats-officedocument.wordprocessingml.footer+xml" PartName="/word/footer12.xml"/>
  <Override ContentType="application/vnd.openxmlformats-officedocument.wordprocessingml.header+xml" PartName="/word/header13.xml"/>
  <Override ContentType="application/vnd.openxmlformats-officedocument.wordprocessingml.header+xml" PartName="/word/header14.xml"/>
  <Override ContentType="application/vnd.openxmlformats-officedocument.wordprocessingml.footer+xml" PartName="/word/footer13.xml"/>
  <Override ContentType="application/vnd.openxmlformats-officedocument.wordprocessingml.footer+xml" PartName="/word/footer14.xml"/>
  <Override ContentType="application/vnd.openxmlformats-officedocument.wordprocessingml.header+xml" PartName="/word/header15.xml"/>
  <Override ContentType="application/vnd.openxmlformats-officedocument.wordprocessingml.header+xml" PartName="/word/header16.xml"/>
  <Override ContentType="application/vnd.openxmlformats-officedocument.wordprocessingml.footer+xml" PartName="/word/footer15.xml"/>
  <Override ContentType="application/vnd.openxmlformats-officedocument.wordprocessingml.footer+xml" PartName="/word/footer16.xml"/>
  <Override ContentType="application/vnd.openxmlformats-officedocument.wordprocessingml.header+xml" PartName="/word/header17.xml"/>
  <Override ContentType="application/vnd.openxmlformats-officedocument.wordprocessingml.header+xml" PartName="/word/header18.xml"/>
  <Override ContentType="application/vnd.openxmlformats-officedocument.wordprocessingml.footer+xml" PartName="/word/footer17.xml"/>
  <Override ContentType="application/vnd.openxmlformats-officedocument.wordprocessingml.footer+xml" PartName="/word/footer18.xml"/>
  <Override ContentType="application/vnd.openxmlformats-officedocument.wordprocessingml.header+xml" PartName="/word/header19.xml"/>
  <Override ContentType="application/vnd.openxmlformats-officedocument.wordprocessingml.header+xml" PartName="/word/header20.xml"/>
  <Override ContentType="application/vnd.openxmlformats-officedocument.wordprocessingml.footer+xml" PartName="/word/footer19.xml"/>
  <Override ContentType="application/vnd.openxmlformats-officedocument.wordprocessingml.footer+xml" PartName="/word/footer20.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CudocCoverTitlePanel"/>
        <w:overflowPunct/>
        <w:autoSpaceDN/>
      </w:pPr>
      <w:r>
        <w:drawing>
          <wp:anchor distT="0" distB="0" distL="0" distR="0" simplePos="0" allowOverlap="1" behindDoc="1" locked="1" layoutInCell="1" relativeHeight="9182100">
            <wp:simplePos x="0" y="0"/>
            <wp:positionH relativeFrom="margin">
              <wp:posOffset>-185738</wp:posOffset>
            </wp:positionH>
            <wp:positionV relativeFrom="margin">
              <wp:posOffset>0</wp:posOffset>
            </wp:positionV>
            <wp:extent cx="6496050" cy="9182100"/>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6496050" cy="9182100"/>
                    </a:xfrm>
                    <a:prstGeom prst="rect">
                      <a:avLst/>
                    </a:prstGeom>
                  </pic:spPr>
                </pic:pic>
              </a:graphicData>
            </a:graphic>
          </wp:anchor>
        </w:drawing>
      </w:r>
      <w:r>
        <w:t xml:space="preserve">Northlight Weather API</w:t>
      </w:r>
    </w:p>
    <w:p>
      <w:pPr>
        <w:sectPr>
          <w:headerReference w:type="default" r:id="rId7"/>
          <w:headerReference w:type="first" r:id="rId8"/>
          <w:footerReference w:type="default" r:id="rId9"/>
          <w:footerReference w:type="first" r:id="rId10"/>
          <w:pgSz w:w="11906" w:h="16838" w:orient="portrait"/>
          <w:pgMar w:top="1134" w:right="1134" w:bottom="1247" w:left="1134" w:header="708" w:footer="708" w:gutter="0"/>
          <w:pgNumType/>
          <w:titlePg/>
          <w:docGrid w:linePitch="360"/>
        </w:sectPr>
      </w:pPr>
    </w:p>
    <w:p>
      <w:pPr>
        <w:pStyle w:val="CudocContentsTitle"/>
        <w:overflowPunct/>
        <w:autoSpaceDN/>
      </w:pPr>
      <w:r>
        <w:t xml:space="preserve">Contents</w:t>
      </w:r>
    </w:p>
    <w:sdt>
      <w:sdtPr>
        <w:alias w:val="Contents"/>
      </w:sdtPr>
      <w:sdtContent>
        <w:p>
          <w:r>
            <w:fldChar w:fldCharType="begin" w:dirty="true"/>
            <w:instrText xml:space="preserve">TOC \h \o "1-1"</w:instrText>
            <w:fldChar w:fldCharType="separate"/>
          </w:r>
        </w:p>
        <w:p>
          <w:pPr>
            <w:pStyle w:val="TOC1"/>
            <w:tabs>
              <w:tab w:val="right" w:pos="9638" w:leader="dot"/>
            </w:tabs>
          </w:pPr>
          <w:hyperlink w:history="1" w:anchor="cudoc0ExZTB9eOp6XGl6KI6hg6N2NdD">
            <w:r>
              <w:rPr>
                <w:rStyle w:val="IndexLink"/>
              </w:rPr>
              <w:t xml:space="preserve">Northlight Weather API</w:t>
            </w:r>
            <w:r>
              <w:tab/>
            </w:r>
          </w:hyperlink>
        </w:p>
        <w:p>
          <w:pPr>
            <w:pStyle w:val="TOC1"/>
            <w:tabs>
              <w:tab w:val="right" w:pos="9638" w:leader="dot"/>
            </w:tabs>
          </w:pPr>
          <w:hyperlink w:history="1" w:anchor="cudoczzSk1mneGfhh07sBKDsgIRJQ9D">
            <w:r>
              <w:rPr>
                <w:rStyle w:val="IndexLink"/>
              </w:rPr>
              <w:t xml:space="preserve">Getting started</w:t>
            </w:r>
            <w:r>
              <w:tab/>
            </w:r>
          </w:hyperlink>
        </w:p>
        <w:p>
          <w:pPr>
            <w:pStyle w:val="TOC1"/>
            <w:tabs>
              <w:tab w:val="right" w:pos="9638" w:leader="dot"/>
            </w:tabs>
          </w:pPr>
          <w:hyperlink w:history="1" w:anchor="cudocEybNOh3VtiRvF7z7oKpRBckSCV">
            <w:r>
              <w:rPr>
                <w:rStyle w:val="IndexLink"/>
              </w:rPr>
              <w:t xml:space="preserve">Endpoint reference</w:t>
            </w:r>
            <w:r>
              <w:tab/>
            </w:r>
          </w:hyperlink>
        </w:p>
        <w:p>
          <w:pPr>
            <w:pStyle w:val="TOC1"/>
            <w:tabs>
              <w:tab w:val="right" w:pos="9638" w:leader="dot"/>
            </w:tabs>
          </w:pPr>
          <w:hyperlink w:history="1" w:anchor="cudocNVUtYegLq1pwV6XrAPDkfwpWd7">
            <w:r>
              <w:rPr>
                <w:rStyle w:val="IndexLink"/>
              </w:rPr>
              <w:t xml:space="preserve">Rate limits</w:t>
            </w:r>
            <w:r>
              <w:tab/>
            </w:r>
          </w:hyperlink>
        </w:p>
        <w:p>
          <w:pPr>
            <w:pStyle w:val="TOC1"/>
            <w:tabs>
              <w:tab w:val="right" w:pos="9638" w:leader="dot"/>
            </w:tabs>
          </w:pPr>
          <w:hyperlink w:history="1" w:anchor="cudoc4Z0Xa2EVZhwfpqtgEkCOSwGMe1">
            <w:r>
              <w:rPr>
                <w:rStyle w:val="IndexLink"/>
              </w:rPr>
              <w:t xml:space="preserve">Error codes</w:t>
            </w:r>
            <w:r>
              <w:tab/>
            </w:r>
          </w:hyperlink>
        </w:p>
        <w:p>
          <w:pPr>
            <w:pStyle w:val="TOC1"/>
            <w:tabs>
              <w:tab w:val="right" w:pos="9638" w:leader="dot"/>
            </w:tabs>
          </w:pPr>
          <w:hyperlink w:history="1" w:anchor="cudoc4Cwq89j0DczewFXNDxbXF9XQo3">
            <w:r>
              <w:rPr>
                <w:rStyle w:val="IndexLink"/>
              </w:rPr>
              <w:t xml:space="preserve">Release notes</w:t>
            </w:r>
            <w:r>
              <w:tab/>
            </w:r>
          </w:hyperlink>
        </w:p>
        <w:p>
          <w:r>
            <w:fldChar w:fldCharType="end"/>
          </w:r>
        </w:p>
      </w:sdtContent>
    </w:sdt>
    <w:p>
      <w:pPr>
        <w:sectPr>
          <w:headerReference w:type="default" r:id="rId11"/>
          <w:headerReference w:type="first" r:id="rId12"/>
          <w:footerReference w:type="default" r:id="rId13"/>
          <w:footerReference w:type="first" r:id="rId14"/>
          <w:pgSz w:w="11906" w:h="16838" w:orient="portrait"/>
          <w:pgMar w:top="1134" w:right="1134" w:bottom="1247" w:left="1134" w:header="708" w:footer="708" w:gutter="0"/>
          <w:pgNumType/>
          <w:docGrid w:linePitch="360"/>
        </w:sectPr>
      </w:pPr>
    </w:p>
    <w:p>
      <w:pPr>
        <w:pStyle w:val="Heading1"/>
        <w:overflowPunct/>
        <w:autoSpaceDN/>
      </w:pPr>
      <w:bookmarkStart w:name="cudoc0ExZTB9eOp6XGl6KI6hg6N2NdD" w:id="2"/>
      <w:bookmarkEnd w:id="2"/>
      <w:bookmarkStart w:name="cudocNSMlPb2tbKIzv1xOpTPofW08Ih" w:id="1"/>
      <w:r>
        <w:t xml:space="preserve">Northlight Weather API </w:t>
      </w:r>
      <w:r>
        <w:rPr>
          <w:rStyle w:val="CudocBadge"/>
        </w:rPr>
        <w:t xml:space="preserve"> v1 </w:t>
      </w:r>
      <w:r>
        <w:t xml:space="preserve"/>
      </w:r>
      <w:bookmarkEnd w:id="1"/>
    </w:p>
    <w:p>
      <w:pPr>
        <w:pStyle w:val="CudocBody"/>
        <w:overflowPunct/>
        <w:autoSpaceDN/>
      </w:pPr>
      <w:r>
        <w:t xml:space="preserve">Northlight serves current conditions and short-range forecasts for a network of weather stations. This handbook is one set of Markdown documents that cudoc publishes three ways: as the site you are reading, as a bound PDF with a cover and contents page, and as a Word file with real styles. Every figure below is drawn from the reference pages, so a correction there reaches this page too.</w:t>
      </w:r>
    </w:p>
    <w:p>
      <w:pPr>
        <w:pStyle w:val="CudocCalloutNoteTitle"/>
        <w:overflowPunct/>
        <w:autoSpaceDN/>
      </w:pPr>
      <w:r>
        <w:t xml:space="preserve">How this handbook is built</w:t>
      </w:r>
    </w:p>
    <w:p>
      <w:pPr>
        <w:pStyle w:val="CudocCalloutNote"/>
        <w:overflowPunct/>
        <w:autoSpaceDN/>
      </w:pPr>
      <w:r>
        <w:t xml:space="preserve">The site, the PDF and the Word file come from one </w:t>
      </w:r>
      <w:r>
        <w:rPr>
          <w:rStyle w:val="CudocCode"/>
        </w:rPr>
        <w:t xml:space="preserve">cudoc-export build</w:t>
      </w:r>
      <w:r>
        <w:t xml:space="preserve"> run and one set of design tokens. The configuration is a single file, </w:t>
      </w:r>
      <w:r>
        <w:rPr>
          <w:rStyle w:val="CudocCode"/>
        </w:rPr>
        <w:t xml:space="preserve">showcase.config.mjs</w:t>
      </w:r>
      <w:r>
        <w:t xml:space="preserve">, beside the documents.</w:t>
      </w:r>
    </w:p>
    <w:p>
      <w:pPr>
        <w:pStyle w:val="Heading2"/>
        <w:pageBreakBefore/>
        <w:overflowPunct/>
        <w:autoSpaceDN/>
      </w:pPr>
      <w:bookmarkStart w:name="cudoclXfihImEmtiieNQ3WItNMVg8t3" w:id="3"/>
      <w:r>
        <w:t xml:space="preserve">Endpoints at a glance</w:t>
      </w:r>
      <w:bookmarkEnd w:id="3"/>
    </w:p>
    <w:p>
      <w:pPr>
        <w:pStyle w:val="CudocBody"/>
        <w:overflowPunct/>
        <w:autoSpaceDN/>
      </w:pPr>
      <w:r>
        <w:t xml:space="preserve">Each row is one section of the endpoint reference. The method and the path are read from the table at the top of that section, and the description is its first paragraph.</w:t>
      </w:r>
    </w:p>
    <w:tbl>
      <w:tblPr>
        <w:tblW w:type="pct" w:w="100%"/>
        <w:tblBorders>
          <w:top w:val="single" w:color="E2E8F0" w:sz="4"/>
          <w:left w:val="none" w:color="auto" w:sz="0"/>
          <w:bottom w:val="single" w:color="E2E8F0" w:sz="4"/>
          <w:right w:val="none" w:color="auto" w:sz="0"/>
          <w:insideH w:val="none" w:color="auto" w:sz="0"/>
          <w:insideV w:val="none" w:color="auto" w:sz="0"/>
        </w:tblBorders>
      </w:tblPr>
      <w:tblGrid>
        <w:gridCol w:w="2539"/>
        <w:gridCol w:w="1200"/>
        <w:gridCol w:w="3360"/>
        <w:gridCol w:w="2539"/>
      </w:tblGrid>
      <w:tr>
        <w:trPr>
          <w:cantSplit/>
          <w:tblHeader/>
        </w:trPr>
        <w:tc>
          <w:tcPr>
            <w:tcW w:type="dxa" w:w="2539"/>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Endpoint</w:t>
            </w:r>
          </w:p>
        </w:tc>
        <w:tc>
          <w:tcPr>
            <w:tcW w:type="dxa" w:w="1200"/>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Method</w:t>
            </w:r>
          </w:p>
        </w:tc>
        <w:tc>
          <w:tcPr>
            <w:tcW w:type="dxa" w:w="3360"/>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Path</w:t>
            </w:r>
          </w:p>
        </w:tc>
        <w:tc>
          <w:tcPr>
            <w:tcW w:type="dxa" w:w="2539"/>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What it returns</w:t>
            </w:r>
          </w:p>
        </w:tc>
      </w:tr>
      <w:tr>
        <w:trPr>
          <w:cantSplit/>
          <w:tblHeader w:val="false"/>
        </w:trPr>
        <w:tc>
          <w:tcPr>
            <w:tcW w:type="dxa" w:w="253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hyperlink w:history="1" w:anchor="cudocF7YvgWGIUcooPJXC8FXls74APx">
              <w:r>
                <w:t xml:space="preserve">Current conditions</w:t>
              </w:r>
            </w:hyperlink>
          </w:p>
        </w:tc>
        <w:tc>
          <w:tcPr>
            <w:tcW w:type="dxa" w:w="120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GET</w:t>
            </w:r>
          </w:p>
        </w:tc>
        <w:tc>
          <w:tcPr>
            <w:tcW w:type="dxa" w:w="336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/v1/weather/current</w:t>
            </w:r>
          </w:p>
        </w:tc>
        <w:tc>
          <w:tcPr>
            <w:tcW w:type="dxa" w:w="2539"/>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Returns the latest observation from one station.</w:t>
            </w:r>
          </w:p>
        </w:tc>
      </w:tr>
      <w:tr>
        <w:trPr>
          <w:cantSplit/>
          <w:tblHeader w:val="false"/>
        </w:trPr>
        <w:tc>
          <w:tcPr>
            <w:tcW w:type="dxa" w:w="2539"/>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hyperlink w:history="1" w:anchor="cudoccZHVnNykLQ6O0AgbTJsrJ1TiSQ">
              <w:r>
                <w:t xml:space="preserve">Hourly forecast</w:t>
              </w:r>
            </w:hyperlink>
          </w:p>
        </w:tc>
        <w:tc>
          <w:tcPr>
            <w:tcW w:type="dxa" w:w="1200"/>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GET</w:t>
            </w:r>
          </w:p>
        </w:tc>
        <w:tc>
          <w:tcPr>
            <w:tcW w:type="dxa" w:w="3360"/>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/v1/forecast/hourly</w:t>
            </w:r>
          </w:p>
        </w:tc>
        <w:tc>
          <w:tcPr>
            <w:tcW w:type="dxa" w:w="2539"/>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Returns up to 48 hourly forecast points for one station.</w:t>
            </w:r>
          </w:p>
        </w:tc>
      </w:tr>
      <w:tr>
        <w:trPr>
          <w:cantSplit/>
          <w:tblHeader w:val="false"/>
        </w:trPr>
        <w:tc>
          <w:tcPr>
            <w:tcW w:type="dxa" w:w="2539"/>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hyperlink w:history="1" w:anchor="cudocjYerOFLkfLYDJesMgzCfLHXUFO">
              <w:r>
                <w:t xml:space="preserve">Station directory</w:t>
              </w:r>
            </w:hyperlink>
          </w:p>
        </w:tc>
        <w:tc>
          <w:tcPr>
            <w:tcW w:type="dxa" w:w="1200"/>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t xml:space="preserve">GET</w:t>
            </w:r>
          </w:p>
        </w:tc>
        <w:tc>
          <w:tcPr>
            <w:tcW w:type="dxa" w:w="3360"/>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t xml:space="preserve">/v1/stations</w:t>
            </w:r>
          </w:p>
        </w:tc>
        <w:tc>
          <w:tcPr>
            <w:tcW w:type="dxa" w:w="2539"/>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t xml:space="preserve">Lists the stations a key may read, with their location and status.</w:t>
            </w:r>
          </w:p>
        </w:tc>
      </w:tr>
    </w:tbl>
    <w:p>
      <w:pPr>
        <w:pStyle w:val="Heading2"/>
        <w:pageBreakBefore/>
        <w:overflowPunct/>
        <w:autoSpaceDN/>
      </w:pPr>
      <w:bookmarkStart w:name="cudoc62Pjob6bUVoxnIpvUzmctKZLPI" w:id="4"/>
      <w:r>
        <w:t xml:space="preserve">Where to start</w:t>
      </w:r>
      <w:bookmarkEnd w:id="4"/>
    </w:p>
    <w:p>
      <w:pPr>
        <w:pStyle w:val="CudocListItem"/>
        <w:numPr>
          <w:ilvl w:val="0"/>
          <w:numId w:val="2"/>
        </w:numPr>
        <w:overflowPunct/>
        <w:autoSpaceDN/>
      </w:pPr>
      <w:r>
        <w:t xml:space="preserve">Read </w:t>
      </w:r>
      <w:hyperlink w:history="1" w:anchor="cudocowxiFXKfzXzgvc6NBLkTLuAIG8">
        <w:r>
          <w:t xml:space="preserve">Getting started</w:t>
        </w:r>
      </w:hyperlink>
      <w:r>
        <w:t xml:space="preserve"> for a key and a first request.</w:t>
      </w:r>
    </w:p>
    <w:p>
      <w:pPr>
        <w:pStyle w:val="CudocListItem"/>
        <w:numPr>
          <w:ilvl w:val="0"/>
          <w:numId w:val="2"/>
        </w:numPr>
        <w:overflowPunct/>
        <w:autoSpaceDN/>
      </w:pPr>
      <w:r>
        <w:t xml:space="preserve">Keep </w:t>
      </w:r>
      <w:hyperlink w:history="1" w:anchor="cudocjDz9EmtO2RJTi5l92xOGYhGHIA">
        <w:r>
          <w:t xml:space="preserve">Rate limits</w:t>
        </w:r>
      </w:hyperlink>
      <w:r>
        <w:t xml:space="preserve"> open while you design a polling schedule.</w:t>
      </w:r>
    </w:p>
    <w:p>
      <w:pPr>
        <w:pStyle w:val="CudocListItem"/>
        <w:numPr>
          <w:ilvl w:val="0"/>
          <w:numId w:val="2"/>
        </w:numPr>
        <w:overflowPunct/>
        <w:autoSpaceDN/>
      </w:pPr>
      <w:r>
        <w:t xml:space="preserve">Check the </w:t>
      </w:r>
      <w:hyperlink w:history="1" w:anchor="cudocclX30dEGlnwUWiJ9iueSqV5zfI">
        <w:r>
          <w:t xml:space="preserve">release notes</w:t>
        </w:r>
      </w:hyperlink>
      <w:r>
        <w:t xml:space="preserve"> before upgrading a client.</w:t>
      </w:r>
    </w:p>
    <w:p>
      <w:pPr>
        <w:pStyle w:val="CudocCalloutTipTitle"/>
        <w:overflowPunct/>
        <w:autoSpaceDN/>
      </w:pPr>
      <w:r>
        <w:t xml:space="preserve">Reading this on paper?</w:t>
      </w:r>
    </w:p>
    <w:p>
      <w:pPr>
        <w:pStyle w:val="CudocCalloutTip"/>
        <w:overflowPunct/>
        <w:autoSpaceDN/>
      </w:pPr>
      <w:r>
        <w:t xml:space="preserve">External links print their address after the text, and links between documents jump inside the bound file.</w:t>
      </w:r>
    </w:p>
    <w:p>
      <w:pPr>
        <w:sectPr>
          <w:headerReference w:type="default" r:id="rId15"/>
          <w:headerReference w:type="first" r:id="rId16"/>
          <w:footerReference w:type="default" r:id="rId17"/>
          <w:footerReference w:type="first" r:id="rId18"/>
          <w:pgSz w:w="11906" w:h="16838" w:orient="portrait"/>
          <w:pgMar w:top="1134" w:right="1134" w:bottom="1247" w:left="1134" w:header="708" w:footer="708" w:gutter="0"/>
          <w:pgNumType/>
          <w:docGrid w:linePitch="360"/>
        </w:sectPr>
      </w:pPr>
    </w:p>
    <w:p>
      <w:pPr>
        <w:pStyle w:val="Heading1"/>
        <w:overflowPunct/>
        <w:autoSpaceDN/>
      </w:pPr>
      <w:bookmarkStart w:name="cudoczzSk1mneGfhh07sBKDsgIRJQ9D" w:id="6"/>
      <w:bookmarkEnd w:id="6"/>
      <w:bookmarkStart w:name="cudocowxiFXKfzXzgvc6NBLkTLuAIG8" w:id="5"/>
      <w:r>
        <w:t xml:space="preserve">Getting started</w:t>
      </w:r>
      <w:bookmarkEnd w:id="5"/>
    </w:p>
    <w:p>
      <w:pPr>
        <w:pStyle w:val="CudocBody"/>
        <w:overflowPunct/>
        <w:autoSpaceDN/>
      </w:pPr>
      <w:r>
        <w:t xml:space="preserve">Three steps take you from nothing to a first forecast. The whole flow is one HTTPS request with a key in a header; there is no SDK to install.</w:t>
      </w:r>
    </w:p>
    <w:p>
      <w:pPr>
        <w:pStyle w:val="CudocBody"/>
        <w:overflowPunct/>
        <w:autoSpaceDN/>
      </w:pPr>
      <w:r>
        <w:drawing>
          <wp:inline distT="0" distB="0" distL="0" distR="0">
            <wp:extent cx="6124575" cy="2143125"/>
            <wp:effectExtent t="0" r="0" b="0" l="0"/>
            <wp:docPr id="1" name="A request travels from your service to the Northlight edge and, on a cache miss, to the forecast store" descr="A request travels from your service to the Northlight edge and, on a cache miss, to the forecast store" title="A request travels from your service to the Northlight edge and, on a cache miss, to the forecast sto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6124575" cy="2143125"/>
                    </a:xfrm>
                    <a:prstGeom prst="rect">
                      <a:avLst/>
                    </a:prstGeom>
                  </pic:spPr>
                </pic:pic>
              </a:graphicData>
            </a:graphic>
          </wp:inline>
        </w:drawing>
      </w:r>
    </w:p>
    <w:p>
      <w:pPr>
        <w:pStyle w:val="Heading2"/>
        <w:pageBreakBefore/>
        <w:overflowPunct/>
        <w:autoSpaceDN/>
      </w:pPr>
      <w:bookmarkStart w:name="cudoceIsJS2dsp1UNK9G0ZQCre2AsLE" w:id="7"/>
      <w:r>
        <w:t xml:space="preserve">Get a key</w:t>
      </w:r>
      <w:bookmarkEnd w:id="7"/>
    </w:p>
    <w:p>
      <w:pPr>
        <w:pStyle w:val="CudocBody"/>
        <w:overflowPunct/>
        <w:autoSpaceDN/>
      </w:pPr>
      <w:r>
        <w:t xml:space="preserve">Keys are issued per project and scoped to the stations a project may read.</w:t>
      </w:r>
    </w:p>
    <w:p>
      <w:pPr>
        <w:pStyle w:val="Heading5"/>
        <w:overflowPunct/>
        <w:autoSpaceDN/>
      </w:pPr>
      <w:bookmarkStart w:name="cudoct4ascbtbiB1ftkSgcdzzSDXCTw" w:id="8"/>
      <w:r>
        <w:t xml:space="preserve">Requirements</w:t>
      </w:r>
      <w:bookmarkEnd w:id="8"/>
    </w:p>
    <w:tbl>
      <w:tblPr>
        <w:tblW w:type="pct" w:w="100%"/>
        <w:tblBorders>
          <w:top w:val="single" w:color="E2E8F0" w:sz="4"/>
          <w:left w:val="none" w:color="auto" w:sz="0"/>
          <w:bottom w:val="single" w:color="E2E8F0" w:sz="4"/>
          <w:right w:val="none" w:color="auto" w:sz="0"/>
          <w:insideH w:val="none" w:color="auto" w:sz="0"/>
          <w:insideV w:val="none" w:color="auto" w:sz="0"/>
        </w:tblBorders>
      </w:tblPr>
      <w:tblGrid>
        <w:gridCol w:w="3212"/>
        <w:gridCol w:w="3212"/>
        <w:gridCol w:w="3212"/>
      </w:tblGrid>
      <w:tr>
        <w:trPr>
          <w:cantSplit/>
          <w:tblHeader/>
        </w:trPr>
        <w:tc>
          <w:tcPr>
            <w:tcW w:type="dxa" w:w="321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Step</w:t>
            </w:r>
          </w:p>
        </w:tc>
        <w:tc>
          <w:tcPr>
            <w:tcW w:type="dxa" w:w="6424"/>
            <w:gridSpan w:val="2"/>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Prerequisites</w:t>
            </w:r>
          </w:p>
        </w:tc>
      </w:tr>
      <w:tr>
        <w:trPr>
          <w:cantSplit/>
          <w:tblHeader w:val="false"/>
        </w:trPr>
        <w:tc>
          <w:tcPr>
            <w:tcW w:type="dxa" w:w="321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Register</w:t>
            </w:r>
          </w:p>
        </w:tc>
        <w:tc>
          <w:tcPr>
            <w:tcW w:type="dxa" w:w="321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numPr>
                <w:ilvl w:val="0"/>
                <w:numId w:val="3"/>
              </w:numPr>
              <w:overflowPunct/>
              <w:autoSpaceDN/>
            </w:pPr>
            <w:r>
              <w:t xml:space="preserve">A project name</w:t>
            </w:r>
          </w:p>
          <w:p>
            <w:pPr>
              <w:pStyle w:val="CudocTableCell"/>
              <w:numPr>
                <w:ilvl w:val="0"/>
                <w:numId w:val="3"/>
              </w:numPr>
              <w:overflowPunct/>
              <w:autoSpaceDN/>
            </w:pPr>
            <w:r>
              <w:t xml:space="preserve">A billing contact</w:t>
            </w:r>
          </w:p>
          <w:p>
            <w:pPr>
              <w:pStyle w:val="CudocTableCell"/>
              <w:numPr>
                <w:ilvl w:val="0"/>
                <w:numId w:val="3"/>
              </w:numPr>
              <w:overflowPunct/>
              <w:autoSpaceDN/>
            </w:pPr>
            <w:r>
              <w:t xml:space="preserve">At least one station</w:t>
            </w:r>
          </w:p>
        </w:tc>
        <w:tc>
          <w:tcPr>
            <w:tcW w:type="dxa" w:w="321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numPr>
                <w:ilvl w:val="0"/>
                <w:numId w:val="4"/>
              </w:numPr>
              <w:overflowPunct/>
              <w:autoSpaceDN/>
            </w:pPr>
            <w:r>
              <w:t xml:space="preserve">Accepted terms</w:t>
            </w:r>
          </w:p>
          <w:p>
            <w:pPr>
              <w:pStyle w:val="CudocTableCell"/>
              <w:numPr>
                <w:ilvl w:val="0"/>
                <w:numId w:val="4"/>
              </w:numPr>
              <w:overflowPunct/>
              <w:autoSpaceDN/>
            </w:pPr>
            <w:r>
              <w:t xml:space="preserve">A callback URL</w:t>
            </w:r>
          </w:p>
        </w:tc>
      </w:tr>
      <w:tr>
        <w:trPr>
          <w:cantSplit/>
          <w:tblHeader w:val="false"/>
        </w:trPr>
        <w:tc>
          <w:tcPr>
            <w:tcW w:type="dxa" w:w="3212"/>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Rotate</w:t>
            </w:r>
          </w:p>
        </w:tc>
        <w:tc>
          <w:tcPr>
            <w:tcW w:type="dxa" w:w="6424"/>
            <w:gridSpan w:val="2"/>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numPr>
                <w:ilvl w:val="0"/>
                <w:numId w:val="5"/>
              </w:numPr>
              <w:overflowPunct/>
              <w:autoSpaceDN/>
            </w:pPr>
            <w:r>
              <w:t xml:space="preserve">The current key</w:t>
            </w:r>
          </w:p>
          <w:p>
            <w:pPr>
              <w:pStyle w:val="CudocTableCell"/>
              <w:numPr>
                <w:ilvl w:val="0"/>
                <w:numId w:val="5"/>
              </w:numPr>
              <w:overflowPunct/>
              <w:autoSpaceDN/>
            </w:pPr>
            <w:r>
              <w:t xml:space="preserve">Owner role</w:t>
            </w:r>
          </w:p>
        </w:tc>
      </w:tr>
    </w:tbl>
    <w:p>
      <w:pPr>
        <w:pStyle w:val="CudocSpacer"/>
        <w:spacing w:after="0" w:before="210" w:line="240"/>
      </w:pPr>
    </w:p>
    <w:p>
      <w:pPr>
        <w:pStyle w:val="CudocCalloutImportantTitle"/>
        <w:overflowPunct/>
        <w:autoSpaceDN/>
      </w:pPr>
      <w:r>
        <w:t xml:space="preserve">Keep the key out of the browser</w:t>
      </w:r>
    </w:p>
    <w:p>
      <w:pPr>
        <w:pStyle w:val="CudocCalloutImportant"/>
        <w:overflowPunct/>
        <w:autoSpaceDN/>
      </w:pPr>
      <w:r>
        <w:t xml:space="preserve">A key grants every scope its project holds. Call Northlight from your own backend and pass results on; never ship the key in client-side code.</w:t>
      </w:r>
    </w:p>
    <w:p>
      <w:pPr>
        <w:pStyle w:val="Heading2"/>
        <w:pageBreakBefore/>
        <w:overflowPunct/>
        <w:autoSpaceDN/>
      </w:pPr>
      <w:bookmarkStart w:name="cudocsOo5wlysP3oFI23Ja0dneWp7O1" w:id="9"/>
      <w:r>
        <w:t xml:space="preserve">Make a request  </w:t>
      </w:r>
      <w:r>
        <w:rPr>
          <w:rStyle w:val="CudocBadge"/>
        </w:rPr>
        <w:t xml:space="preserve"> New </w:t>
      </w:r>
      <w:r>
        <w:t xml:space="preserve"/>
      </w:r>
      <w:bookmarkEnd w:id="9"/>
    </w:p>
    <w:p>
      <w:pPr>
        <w:pStyle w:val="CudocBody"/>
        <w:overflowPunct/>
        <w:autoSpaceDN/>
      </w:pPr>
      <w:r>
        <w:t xml:space="preserve">Send the key in the </w:t>
      </w:r>
      <w:r>
        <w:rPr>
          <w:rStyle w:val="CudocCode"/>
        </w:rPr>
        <w:t xml:space="preserve">Authorization</w:t>
      </w:r>
      <w:r>
        <w:t xml:space="preserve"> header and ask for a station by its code:</w:t>
      </w:r>
    </w:p>
    <w:p>
      <w:pPr>
        <w:pStyle w:val="CudocCodeBlock"/>
        <w:overflowPunct/>
        <w:spacing w:after="0" w:before="210"/>
        <w:autoSpaceDN/>
      </w:pPr>
      <w:r>
        <w:t xml:space="preserve">curl -H </w:t>
      </w:r>
      <w:r>
        <w:rPr>
          <w:rStyle w:val="CudocCodeString"/>
        </w:rPr>
        <w:t xml:space="preserve">"Authorization: Bearer </w:t>
      </w:r>
      <w:r>
        <w:rPr>
          <w:rStyle w:val="CudocCodeString"/>
        </w:rPr>
        <w:t xml:space="preserve">$NORTHLIGHT_KEY</w:t>
      </w:r>
      <w:r>
        <w:rPr>
          <w:rStyle w:val="CudocCodeString"/>
        </w:rPr>
        <w:t xml:space="preserve">"</w:t>
      </w:r>
      <w:r>
        <w:t xml:space="preserve"> \</w:t>
      </w:r>
    </w:p>
    <w:p>
      <w:pPr>
        <w:pStyle w:val="CudocCodeBlock"/>
        <w:overflowPunct/>
        <w:spacing w:after="210" w:before="0"/>
        <w:autoSpaceDN/>
      </w:pPr>
      <w:r>
        <w:t xml:space="preserve">  </w:t>
      </w:r>
      <w:r>
        <w:rPr>
          <w:rStyle w:val="CudocCodeString"/>
        </w:rPr>
        <w:t xml:space="preserve">"https://api.northlight.example/v1/weather/current?station=OSL-01"</w:t>
      </w:r>
    </w:p>
    <w:p>
      <w:pPr>
        <w:pStyle w:val="CudocCodeBlock"/>
        <w:overflowPunct/>
        <w:spacing w:after="0" w:before="210"/>
        <w:autoSpaceDN/>
      </w:pPr>
      <w:r>
        <w:t xml:space="preserve">{</w:t>
      </w:r>
    </w:p>
    <w:p>
      <w:pPr>
        <w:pStyle w:val="CudocCodeBlock"/>
        <w:overflowPunct/>
        <w:spacing w:after="0" w:before="0"/>
        <w:autoSpaceDN/>
      </w:pPr>
      <w:r>
        <w:t xml:space="preserve">  </w:t>
      </w:r>
      <w:r>
        <w:rPr>
          <w:rStyle w:val="CudocCodeString"/>
        </w:rPr>
        <w:t xml:space="preserve">"station"</w:t>
      </w:r>
      <w:r>
        <w:t xml:space="preserve">:</w:t>
      </w:r>
      <w:r>
        <w:t xml:space="preserve"> </w:t>
      </w:r>
      <w:r>
        <w:rPr>
          <w:rStyle w:val="CudocCodeString"/>
        </w:rPr>
        <w:t xml:space="preserve">"OSL-01"</w:t>
      </w:r>
      <w:r>
        <w:t xml:space="preserve">,</w:t>
      </w:r>
    </w:p>
    <w:p>
      <w:pPr>
        <w:pStyle w:val="CudocCodeBlock"/>
        <w:overflowPunct/>
        <w:spacing w:after="0" w:before="0"/>
        <w:autoSpaceDN/>
      </w:pPr>
      <w:r>
        <w:t xml:space="preserve">  </w:t>
      </w:r>
      <w:r>
        <w:rPr>
          <w:rStyle w:val="CudocCodeString"/>
        </w:rPr>
        <w:t xml:space="preserve">"observedAt"</w:t>
      </w:r>
      <w:r>
        <w:t xml:space="preserve">:</w:t>
      </w:r>
      <w:r>
        <w:t xml:space="preserve"> </w:t>
      </w:r>
      <w:r>
        <w:rPr>
          <w:rStyle w:val="CudocCodeString"/>
        </w:rPr>
        <w:t xml:space="preserve">"2026-09-22T06:00:00Z"</w:t>
      </w:r>
      <w:r>
        <w:t xml:space="preserve">,</w:t>
      </w:r>
    </w:p>
    <w:p>
      <w:pPr>
        <w:pStyle w:val="CudocCodeBlock"/>
        <w:overflowPunct/>
        <w:spacing w:after="0" w:before="0"/>
        <w:autoSpaceDN/>
      </w:pPr>
      <w:r>
        <w:t xml:space="preserve">  </w:t>
      </w:r>
      <w:r>
        <w:rPr>
          <w:rStyle w:val="CudocCodeString"/>
        </w:rPr>
        <w:t xml:space="preserve">"temperatureC"</w:t>
      </w:r>
      <w:r>
        <w:t xml:space="preserve">:</w:t>
      </w:r>
      <w:r>
        <w:t xml:space="preserve"> </w:t>
      </w:r>
      <w:r>
        <w:rPr>
          <w:rStyle w:val="CudocCodeNumber"/>
        </w:rPr>
        <w:t xml:space="preserve">11.4</w:t>
      </w:r>
      <w:r>
        <w:t xml:space="preserve">,</w:t>
      </w:r>
    </w:p>
    <w:p>
      <w:pPr>
        <w:pStyle w:val="CudocCodeBlock"/>
        <w:overflowPunct/>
        <w:spacing w:after="0" w:before="0"/>
        <w:autoSpaceDN/>
      </w:pPr>
      <w:r>
        <w:t xml:space="preserve">  </w:t>
      </w:r>
      <w:r>
        <w:rPr>
          <w:rStyle w:val="CudocCodeString"/>
        </w:rPr>
        <w:t xml:space="preserve">"windMs"</w:t>
      </w:r>
      <w:r>
        <w:t xml:space="preserve">:</w:t>
      </w:r>
      <w:r>
        <w:t xml:space="preserve"> </w:t>
      </w:r>
      <w:r>
        <w:rPr>
          <w:rStyle w:val="CudocCodeNumber"/>
        </w:rPr>
        <w:t xml:space="preserve">3.2</w:t>
      </w:r>
      <w:r>
        <w:t xml:space="preserve">,</w:t>
      </w:r>
    </w:p>
    <w:p>
      <w:pPr>
        <w:pStyle w:val="CudocCodeBlock"/>
        <w:overflowPunct/>
        <w:spacing w:after="0" w:before="0"/>
        <w:autoSpaceDN/>
      </w:pPr>
      <w:r>
        <w:t xml:space="preserve">  </w:t>
      </w:r>
      <w:r>
        <w:rPr>
          <w:rStyle w:val="CudocCodeString"/>
        </w:rPr>
        <w:t xml:space="preserve">"conditions"</w:t>
      </w:r>
      <w:r>
        <w:t xml:space="preserve">:</w:t>
      </w:r>
      <w:r>
        <w:t xml:space="preserve"> </w:t>
      </w:r>
      <w:r>
        <w:rPr>
          <w:rStyle w:val="CudocCodeString"/>
        </w:rPr>
        <w:t xml:space="preserve">"overcast"</w:t>
      </w:r>
    </w:p>
    <w:p>
      <w:pPr>
        <w:pStyle w:val="CudocCodeBlock"/>
        <w:overflowPunct/>
        <w:spacing w:after="210" w:before="0"/>
        <w:autoSpaceDN/>
      </w:pPr>
      <w:r>
        <w:t xml:space="preserve">}</w:t>
      </w:r>
    </w:p>
    <w:p>
      <w:pPr>
        <w:pStyle w:val="CudocBody"/>
        <w:overflowPunct/>
        <w:autoSpaceDN/>
      </w:pPr>
      <w:r>
        <w:t xml:space="preserve">Every response carries </w:t>
      </w:r>
      <w:r>
        <w:rPr>
          <w:rStyle w:val="CudocCode"/>
        </w:rPr>
        <w:t xml:space="preserve">observedAt</w:t>
      </w:r>
      <w:r>
        <w:t xml:space="preserve">, the instant the station reported</w:t>
      </w:r>
      <w:r>
        <w:rPr>
          <w:rStyle w:val="FootnoteReference"/>
        </w:rPr>
        <w:footnoteReference w:id="1"/>
      </w:r>
      <w:r>
        <w:t xml:space="preserve">. A missing station returns </w:t>
      </w:r>
      <w:r>
        <w:rPr>
          <w:rStyle w:val="CudocCode"/>
        </w:rPr>
        <w:t xml:space="preserve">404</w:t>
      </w:r>
      <w:r>
        <w:t xml:space="preserve"> with a machine-readable </w:t>
      </w:r>
      <w:r>
        <w:rPr>
          <w:rStyle w:val="CudocCode"/>
        </w:rPr>
        <w:t xml:space="preserve">code</w:t>
      </w:r>
      <w:r>
        <w:t xml:space="preserve">, listed under </w:t>
      </w:r>
      <w:hyperlink w:history="1" w:anchor="cudocHH0R3sP7IgS2YmCcoVlpKSCGhL">
        <w:r>
          <w:t xml:space="preserve">Error codes</w:t>
        </w:r>
      </w:hyperlink>
      <w:r>
        <w:t xml:space="preserve">.</w:t>
      </w:r>
    </w:p>
    <w:p>
      <w:pPr>
        <w:pStyle w:val="Heading2"/>
        <w:pageBreakBefore/>
        <w:overflowPunct/>
        <w:autoSpaceDN/>
      </w:pPr>
      <w:bookmarkStart w:name="cudocqzklZqtrTkO3CKfQ3eN93HIIud" w:id="10"/>
      <w:r>
        <w:t xml:space="preserve">Stay within the limits</w:t>
      </w:r>
      <w:bookmarkEnd w:id="10"/>
    </w:p>
    <w:p>
      <w:pPr>
        <w:pStyle w:val="CudocBody"/>
        <w:overflowPunct/>
        <w:autoSpaceDN/>
      </w:pPr>
      <w:r>
        <w:t xml:space="preserve">Current conditions are cached at the edge for sixty seconds, so polling faster than that returns the same reading and spends your quota. The windows and the headers that report them are in </w:t>
      </w:r>
      <w:hyperlink w:history="1" w:anchor="cudocjDz9EmtO2RJTi5l92xOGYhGHIA">
        <w:r>
          <w:t xml:space="preserve">Rate limits</w:t>
        </w:r>
      </w:hyperlink>
      <w:r>
        <w:t xml:space="preserve">; the short version is below.</w:t>
      </w:r>
    </w:p>
    <w:p>
      <w:pPr>
        <w:pStyle w:val="Heading2"/>
        <w:pageBreakBefore/>
        <w:overflowPunct/>
        <w:autoSpaceDN/>
      </w:pPr>
      <w:bookmarkStart w:name="cudocJ9oX8xGOEmNeEhr6SYKudSgrY8" w:id="11"/>
      <w:r>
        <w:t xml:space="preserve">Windows</w:t>
      </w:r>
      <w:bookmarkEnd w:id="11"/>
    </w:p>
    <w:p>
      <w:pPr>
        <w:pStyle w:val="CudocBody"/>
        <w:overflowPunct/>
        <w:autoSpaceDN/>
      </w:pPr>
      <w:r>
        <w:t xml:space="preserve">As a new integrator you share one rule: a key may make 60 requests per rolling minute to </w:t>
      </w:r>
      <w:r>
        <w:rPr>
          <w:rStyle w:val="CudocCode"/>
        </w:rPr>
        <w:t xml:space="preserve">/v1/weather/current</w:t>
      </w:r>
      <w:r>
        <w:t xml:space="preserve"> and 600 per rolling hour across all endpoints. Both counters are reported on every response.</w:t>
      </w:r>
    </w:p>
    <w:tbl>
      <w:tblPr>
        <w:tblW w:type="pct" w:w="100%"/>
        <w:tblBorders>
          <w:top w:val="single" w:color="E2E8F0" w:sz="4"/>
          <w:left w:val="none" w:color="auto" w:sz="0"/>
          <w:bottom w:val="single" w:color="E2E8F0" w:sz="4"/>
          <w:right w:val="none" w:color="auto" w:sz="0"/>
          <w:insideH w:val="none" w:color="auto" w:sz="0"/>
          <w:insideV w:val="none" w:color="auto" w:sz="0"/>
        </w:tblBorders>
      </w:tblPr>
      <w:tblGrid>
        <w:gridCol w:w="5798"/>
        <w:gridCol w:w="3840"/>
      </w:tblGrid>
      <w:tr>
        <w:trPr>
          <w:cantSplit/>
          <w:tblHeader/>
        </w:trPr>
        <w:tc>
          <w:tcPr>
            <w:tcW w:type="dxa" w:w="5798"/>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Header</w:t>
            </w:r>
          </w:p>
        </w:tc>
        <w:tc>
          <w:tcPr>
            <w:tcW w:type="dxa" w:w="3840"/>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Meaning</w:t>
            </w:r>
          </w:p>
        </w:tc>
      </w:tr>
      <w:tr>
        <w:trPr>
          <w:cantSplit/>
          <w:tblHeader w:val="false"/>
        </w:trPr>
        <w:tc>
          <w:tcPr>
            <w:tcW w:type="dxa" w:w="5798"/>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X-Limit-Minute</w:t>
            </w:r>
          </w:p>
        </w:tc>
        <w:tc>
          <w:tcPr>
            <w:tcW w:type="dxa" w:w="384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Requests left in the current minute window.</w:t>
            </w:r>
          </w:p>
        </w:tc>
      </w:tr>
      <w:tr>
        <w:trPr>
          <w:cantSplit/>
          <w:tblHeader w:val="false"/>
        </w:trPr>
        <w:tc>
          <w:tcPr>
            <w:tcW w:type="dxa" w:w="5798"/>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X-Limit-Hour</w:t>
            </w:r>
          </w:p>
        </w:tc>
        <w:tc>
          <w:tcPr>
            <w:tcW w:type="dxa" w:w="3840"/>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Requests left in the current hour window.</w:t>
            </w:r>
          </w:p>
        </w:tc>
      </w:tr>
      <w:tr>
        <w:trPr>
          <w:cantSplit/>
          <w:tblHeader w:val="false"/>
        </w:trPr>
        <w:tc>
          <w:tcPr>
            <w:tcW w:type="dxa" w:w="5798"/>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Retry-After</w:t>
            </w:r>
          </w:p>
        </w:tc>
        <w:tc>
          <w:tcPr>
            <w:tcW w:type="dxa" w:w="3840"/>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t xml:space="preserve">Seconds to wait, present only on a </w:t>
            </w:r>
            <w:r>
              <w:rPr>
                <w:rStyle w:val="CudocCode"/>
              </w:rPr>
              <w:t xml:space="preserve">429</w:t>
            </w:r>
            <w:r>
              <w:t xml:space="preserve">.</w:t>
            </w:r>
          </w:p>
        </w:tc>
      </w:tr>
    </w:tbl>
    <w:p>
      <w:pPr>
        <w:pStyle w:val="CudocSpacer"/>
        <w:spacing w:after="0" w:before="210" w:line="240"/>
      </w:pPr>
    </w:p>
    <w:p>
      <w:pPr>
        <w:pStyle w:val="CudocCalloutWarningTitle"/>
        <w:overflowPunct/>
        <w:autoSpaceDN/>
      </w:pPr>
      <w:r>
        <w:t xml:space="preserve">Bursts are counted per key</w:t>
      </w:r>
    </w:p>
    <w:p>
      <w:pPr>
        <w:pStyle w:val="CudocCalloutWarning"/>
        <w:overflowPunct/>
        <w:autoSpaceDN/>
      </w:pPr>
      <w:r>
        <w:t xml:space="preserve">Two services sharing one key share one window. Give each service its own key so a spike in one cannot starve the other.</w:t>
      </w:r>
    </w:p>
    <w:p>
      <w:pPr>
        <w:sectPr>
          <w:headerReference w:type="default" r:id="rId19"/>
          <w:headerReference w:type="first" r:id="rId20"/>
          <w:footerReference w:type="default" r:id="rId21"/>
          <w:footerReference w:type="first" r:id="rId22"/>
          <w:pgSz w:w="11906" w:h="16838" w:orient="portrait"/>
          <w:pgMar w:top="1134" w:right="1134" w:bottom="1247" w:left="1134" w:header="708" w:footer="708" w:gutter="0"/>
          <w:pgNumType/>
          <w:docGrid w:linePitch="360"/>
        </w:sectPr>
      </w:pPr>
    </w:p>
    <w:p>
      <w:pPr>
        <w:pStyle w:val="Heading1"/>
        <w:overflowPunct/>
        <w:autoSpaceDN/>
      </w:pPr>
      <w:bookmarkStart w:name="cudocEybNOh3VtiRvF7z7oKpRBckSCV" w:id="13"/>
      <w:bookmarkEnd w:id="13"/>
      <w:bookmarkStart w:name="cudocKhZqp719JUkCF9KolI2mOtF43s" w:id="12"/>
      <w:r>
        <w:t xml:space="preserve">Endpoint reference</w:t>
      </w:r>
      <w:bookmarkEnd w:id="12"/>
    </w:p>
    <w:p>
      <w:pPr>
        <w:pStyle w:val="CudocBody"/>
        <w:overflowPunct/>
        <w:autoSpaceDN/>
      </w:pPr>
      <w:r>
        <w:t xml:space="preserve">Each section describes one endpoint. The first table of a section is its basic information, which the overview page reads into a summary table; the tables that follow describe parameters and the response. Error responses are listed separately under </w:t>
      </w:r>
      <w:hyperlink w:history="1" w:anchor="cudocHH0R3sP7IgS2YmCcoVlpKSCGhL">
        <w:r>
          <w:t xml:space="preserve">Error codes</w:t>
        </w:r>
      </w:hyperlink>
      <w:r>
        <w:t xml:space="preserve">.</w:t>
      </w:r>
    </w:p>
    <w:p>
      <w:pPr>
        <w:pStyle w:val="Heading2"/>
        <w:pageBreakBefore/>
        <w:overflowPunct/>
        <w:autoSpaceDN/>
      </w:pPr>
      <w:bookmarkStart w:name="cudocF7YvgWGIUcooPJXC8FXls74APx" w:id="14"/>
      <w:r>
        <w:t xml:space="preserve">Current conditions</w:t>
      </w:r>
      <w:bookmarkEnd w:id="14"/>
    </w:p>
    <w:p>
      <w:pPr>
        <w:pStyle w:val="CudocBody"/>
        <w:overflowPunct/>
        <w:autoSpaceDN/>
      </w:pPr>
      <w:r>
        <w:t xml:space="preserve">Returns the latest observation from one station.</w:t>
      </w:r>
    </w:p>
    <w:tbl>
      <w:tblPr>
        <w:tblW w:type="pct" w:w="100%"/>
        <w:tblBorders>
          <w:top w:val="single" w:color="E2E8F0" w:sz="4"/>
          <w:left w:val="none" w:color="auto" w:sz="0"/>
          <w:bottom w:val="single" w:color="E2E8F0" w:sz="4"/>
          <w:right w:val="none" w:color="auto" w:sz="0"/>
          <w:insideH w:val="none" w:color="auto" w:sz="0"/>
          <w:insideV w:val="none" w:color="auto" w:sz="0"/>
        </w:tblBorders>
      </w:tblPr>
      <w:tblGrid>
        <w:gridCol w:w="3212"/>
        <w:gridCol w:w="3212"/>
        <w:gridCol w:w="3212"/>
      </w:tblGrid>
      <w:tr>
        <w:trPr>
          <w:cantSplit/>
          <w:tblHeader/>
        </w:trPr>
        <w:tc>
          <w:tcPr>
            <w:tcW w:type="dxa" w:w="321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Method</w:t>
            </w:r>
          </w:p>
        </w:tc>
        <w:tc>
          <w:tcPr>
            <w:tcW w:type="dxa" w:w="321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Path</w:t>
            </w:r>
          </w:p>
        </w:tc>
        <w:tc>
          <w:tcPr>
            <w:tcW w:type="dxa" w:w="321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Auth</w:t>
            </w:r>
          </w:p>
        </w:tc>
      </w:tr>
      <w:tr>
        <w:trPr>
          <w:cantSplit/>
          <w:tblHeader w:val="false"/>
        </w:trPr>
        <w:tc>
          <w:tcPr>
            <w:tcW w:type="dxa" w:w="3212"/>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t xml:space="preserve">GET</w:t>
            </w:r>
          </w:p>
        </w:tc>
        <w:tc>
          <w:tcPr>
            <w:tcW w:type="dxa" w:w="3212"/>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/v1/weather/current</w:t>
            </w:r>
          </w:p>
        </w:tc>
        <w:tc>
          <w:tcPr>
            <w:tcW w:type="dxa" w:w="3212"/>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t xml:space="preserve">Bearer</w:t>
            </w:r>
          </w:p>
        </w:tc>
      </w:tr>
    </w:tbl>
    <w:p>
      <w:pPr>
        <w:pStyle w:val="CudocSpacer"/>
        <w:spacing w:after="0" w:before="210" w:line="240"/>
      </w:pPr>
    </w:p>
    <w:tbl>
      <w:tblPr>
        <w:tblW w:type="pct" w:w="100%"/>
        <w:tblBorders>
          <w:top w:val="single" w:color="E2E8F0" w:sz="4"/>
          <w:left w:val="none" w:color="auto" w:sz="0"/>
          <w:bottom w:val="single" w:color="E2E8F0" w:sz="4"/>
          <w:right w:val="none" w:color="auto" w:sz="0"/>
          <w:insideH w:val="none" w:color="auto" w:sz="0"/>
          <w:insideV w:val="none" w:color="auto" w:sz="0"/>
        </w:tblBorders>
      </w:tblPr>
      <w:tblGrid>
        <w:gridCol w:w="1772"/>
        <w:gridCol w:w="1772"/>
        <w:gridCol w:w="1772"/>
        <w:gridCol w:w="4320"/>
      </w:tblGrid>
      <w:tr>
        <w:trPr>
          <w:cantSplit/>
          <w:tblHeader/>
        </w:trPr>
        <w:tc>
          <w:tcPr>
            <w:tcW w:type="dxa" w:w="177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Parameter</w:t>
            </w:r>
          </w:p>
        </w:tc>
        <w:tc>
          <w:tcPr>
            <w:tcW w:type="dxa" w:w="177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Type</w:t>
            </w:r>
          </w:p>
        </w:tc>
        <w:tc>
          <w:tcPr>
            <w:tcW w:type="dxa" w:w="177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Required</w:t>
            </w:r>
          </w:p>
        </w:tc>
        <w:tc>
          <w:tcPr>
            <w:tcW w:type="dxa" w:w="4320"/>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Description</w:t>
            </w:r>
          </w:p>
        </w:tc>
      </w:tr>
      <w:tr>
        <w:trPr>
          <w:cantSplit/>
          <w:tblHeader w:val="false"/>
        </w:trPr>
        <w:tc>
          <w:tcPr>
            <w:tcW w:type="dxa" w:w="177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station</w:t>
            </w:r>
          </w:p>
        </w:tc>
        <w:tc>
          <w:tcPr>
            <w:tcW w:type="dxa" w:w="177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string</w:t>
            </w:r>
          </w:p>
        </w:tc>
        <w:tc>
          <w:tcPr>
            <w:tcW w:type="dxa" w:w="177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yes</w:t>
            </w:r>
          </w:p>
        </w:tc>
        <w:tc>
          <w:tcPr>
            <w:tcW w:type="dxa" w:w="432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The station code, such as </w:t>
            </w:r>
            <w:r>
              <w:rPr>
                <w:rStyle w:val="CudocCode"/>
              </w:rPr>
              <w:t xml:space="preserve">OSL-01</w:t>
            </w:r>
            <w:r>
              <w:t xml:space="preserve">. One station per request.</w:t>
            </w:r>
          </w:p>
        </w:tc>
      </w:tr>
      <w:tr>
        <w:trPr>
          <w:cantSplit/>
          <w:tblHeader w:val="false"/>
        </w:trPr>
        <w:tc>
          <w:tcPr>
            <w:tcW w:type="dxa" w:w="1772"/>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units</w:t>
            </w:r>
          </w:p>
        </w:tc>
        <w:tc>
          <w:tcPr>
            <w:tcW w:type="dxa" w:w="1772"/>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string</w:t>
            </w:r>
          </w:p>
        </w:tc>
        <w:tc>
          <w:tcPr>
            <w:tcW w:type="dxa" w:w="1772"/>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no</w:t>
            </w:r>
          </w:p>
        </w:tc>
        <w:tc>
          <w:tcPr>
            <w:tcW w:type="dxa" w:w="4320"/>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metric</w:t>
            </w:r>
            <w:r>
              <w:t xml:space="preserve"> (default) or </w:t>
            </w:r>
            <w:r>
              <w:rPr>
                <w:rStyle w:val="CudocCode"/>
              </w:rPr>
              <w:t xml:space="preserve">imperial</w:t>
            </w:r>
            <w:r>
              <w:t xml:space="preserve">.</w:t>
            </w:r>
          </w:p>
        </w:tc>
      </w:tr>
    </w:tbl>
    <w:p>
      <w:pPr>
        <w:pStyle w:val="CudocBody"/>
        <w:overflowPunct/>
        <w:spacing w:before="210"/>
        <w:autoSpaceDN/>
      </w:pPr>
      <w:r>
        <w:t xml:space="preserve">The response is one observation object. Readings older than fifteen minutes carry </w:t>
      </w:r>
      <w:r>
        <w:rPr>
          <w:rStyle w:val="CudocCode"/>
        </w:rPr>
        <w:t xml:space="preserve">stale: true</w:t>
      </w:r>
      <w:r>
        <w:t xml:space="preserve">.</w:t>
      </w:r>
    </w:p>
    <w:p>
      <w:pPr>
        <w:pStyle w:val="Heading2"/>
        <w:pageBreakBefore/>
        <w:overflowPunct/>
        <w:autoSpaceDN/>
      </w:pPr>
      <w:bookmarkStart w:name="cudoccZHVnNykLQ6O0AgbTJsrJ1TiSQ" w:id="15"/>
      <w:r>
        <w:t xml:space="preserve">Hourly forecast</w:t>
      </w:r>
      <w:bookmarkEnd w:id="15"/>
    </w:p>
    <w:p>
      <w:pPr>
        <w:pStyle w:val="CudocBody"/>
        <w:overflowPunct/>
        <w:autoSpaceDN/>
      </w:pPr>
      <w:r>
        <w:t xml:space="preserve">Returns up to 48 hourly forecast points for one station.</w:t>
      </w:r>
    </w:p>
    <w:tbl>
      <w:tblPr>
        <w:tblW w:type="pct" w:w="100%"/>
        <w:tblBorders>
          <w:top w:val="single" w:color="E2E8F0" w:sz="4"/>
          <w:left w:val="none" w:color="auto" w:sz="0"/>
          <w:bottom w:val="single" w:color="E2E8F0" w:sz="4"/>
          <w:right w:val="none" w:color="auto" w:sz="0"/>
          <w:insideH w:val="none" w:color="auto" w:sz="0"/>
          <w:insideV w:val="none" w:color="auto" w:sz="0"/>
        </w:tblBorders>
      </w:tblPr>
      <w:tblGrid>
        <w:gridCol w:w="3212"/>
        <w:gridCol w:w="3212"/>
        <w:gridCol w:w="3212"/>
      </w:tblGrid>
      <w:tr>
        <w:trPr>
          <w:cantSplit/>
          <w:tblHeader/>
        </w:trPr>
        <w:tc>
          <w:tcPr>
            <w:tcW w:type="dxa" w:w="321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Method</w:t>
            </w:r>
          </w:p>
        </w:tc>
        <w:tc>
          <w:tcPr>
            <w:tcW w:type="dxa" w:w="321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Path</w:t>
            </w:r>
          </w:p>
        </w:tc>
        <w:tc>
          <w:tcPr>
            <w:tcW w:type="dxa" w:w="321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Auth</w:t>
            </w:r>
          </w:p>
        </w:tc>
      </w:tr>
      <w:tr>
        <w:trPr>
          <w:cantSplit/>
          <w:tblHeader w:val="false"/>
        </w:trPr>
        <w:tc>
          <w:tcPr>
            <w:tcW w:type="dxa" w:w="3212"/>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t xml:space="preserve">GET</w:t>
            </w:r>
          </w:p>
        </w:tc>
        <w:tc>
          <w:tcPr>
            <w:tcW w:type="dxa" w:w="3212"/>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/v1/forecast/hourly</w:t>
            </w:r>
          </w:p>
        </w:tc>
        <w:tc>
          <w:tcPr>
            <w:tcW w:type="dxa" w:w="3212"/>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t xml:space="preserve">Bearer</w:t>
            </w:r>
          </w:p>
        </w:tc>
      </w:tr>
    </w:tbl>
    <w:p>
      <w:pPr>
        <w:pStyle w:val="CudocSpacer"/>
        <w:spacing w:after="0" w:before="210" w:line="240"/>
      </w:pPr>
    </w:p>
    <w:tbl>
      <w:tblPr>
        <w:tblW w:type="pct" w:w="100%"/>
        <w:tblBorders>
          <w:top w:val="single" w:color="E2E8F0" w:sz="4"/>
          <w:left w:val="none" w:color="auto" w:sz="0"/>
          <w:bottom w:val="single" w:color="E2E8F0" w:sz="4"/>
          <w:right w:val="none" w:color="auto" w:sz="0"/>
          <w:insideH w:val="none" w:color="auto" w:sz="0"/>
          <w:insideV w:val="none" w:color="auto" w:sz="0"/>
        </w:tblBorders>
      </w:tblPr>
      <w:tblGrid>
        <w:gridCol w:w="1772"/>
        <w:gridCol w:w="1772"/>
        <w:gridCol w:w="1772"/>
        <w:gridCol w:w="4320"/>
      </w:tblGrid>
      <w:tr>
        <w:trPr>
          <w:cantSplit/>
          <w:tblHeader/>
        </w:trPr>
        <w:tc>
          <w:tcPr>
            <w:tcW w:type="dxa" w:w="177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Parameter</w:t>
            </w:r>
          </w:p>
        </w:tc>
        <w:tc>
          <w:tcPr>
            <w:tcW w:type="dxa" w:w="177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Type</w:t>
            </w:r>
          </w:p>
        </w:tc>
        <w:tc>
          <w:tcPr>
            <w:tcW w:type="dxa" w:w="177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Required</w:t>
            </w:r>
          </w:p>
        </w:tc>
        <w:tc>
          <w:tcPr>
            <w:tcW w:type="dxa" w:w="4320"/>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Description</w:t>
            </w:r>
          </w:p>
        </w:tc>
      </w:tr>
      <w:tr>
        <w:trPr>
          <w:cantSplit/>
          <w:tblHeader w:val="false"/>
        </w:trPr>
        <w:tc>
          <w:tcPr>
            <w:tcW w:type="dxa" w:w="177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station</w:t>
            </w:r>
          </w:p>
        </w:tc>
        <w:tc>
          <w:tcPr>
            <w:tcW w:type="dxa" w:w="177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string</w:t>
            </w:r>
          </w:p>
        </w:tc>
        <w:tc>
          <w:tcPr>
            <w:tcW w:type="dxa" w:w="177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yes</w:t>
            </w:r>
          </w:p>
        </w:tc>
        <w:tc>
          <w:tcPr>
            <w:tcW w:type="dxa" w:w="432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The station code.</w:t>
            </w:r>
          </w:p>
        </w:tc>
      </w:tr>
      <w:tr>
        <w:trPr>
          <w:cantSplit/>
          <w:tblHeader w:val="false"/>
        </w:trPr>
        <w:tc>
          <w:tcPr>
            <w:tcW w:type="dxa" w:w="1772"/>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hours</w:t>
            </w:r>
          </w:p>
        </w:tc>
        <w:tc>
          <w:tcPr>
            <w:tcW w:type="dxa" w:w="1772"/>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integer</w:t>
            </w:r>
          </w:p>
        </w:tc>
        <w:tc>
          <w:tcPr>
            <w:tcW w:type="dxa" w:w="1772"/>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no</w:t>
            </w:r>
          </w:p>
        </w:tc>
        <w:tc>
          <w:tcPr>
            <w:tcW w:type="dxa" w:w="4320"/>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1 to 48, default 24. Values above 48 are clamped, not rejected.</w:t>
            </w:r>
          </w:p>
        </w:tc>
      </w:tr>
      <w:tr>
        <w:trPr>
          <w:cantSplit/>
          <w:tblHeader w:val="false"/>
        </w:trPr>
        <w:tc>
          <w:tcPr>
            <w:tcW w:type="dxa" w:w="1772"/>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fields</w:t>
            </w:r>
          </w:p>
        </w:tc>
        <w:tc>
          <w:tcPr>
            <w:tcW w:type="dxa" w:w="1772"/>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t xml:space="preserve">list</w:t>
            </w:r>
          </w:p>
        </w:tc>
        <w:tc>
          <w:tcPr>
            <w:tcW w:type="dxa" w:w="1772"/>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t xml:space="preserve">no</w:t>
            </w:r>
          </w:p>
        </w:tc>
        <w:tc>
          <w:tcPr>
            <w:tcW w:type="dxa" w:w="4320"/>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numPr>
                <w:ilvl w:val="0"/>
                <w:numId w:val="6"/>
              </w:numPr>
              <w:overflowPunct/>
              <w:autoSpaceDN/>
            </w:pPr>
            <w:r>
              <w:rPr>
                <w:rStyle w:val="CudocCode"/>
              </w:rPr>
              <w:t xml:space="preserve">temperature</w:t>
            </w:r>
          </w:p>
          <w:p>
            <w:pPr>
              <w:pStyle w:val="CudocTableCell"/>
              <w:numPr>
                <w:ilvl w:val="0"/>
                <w:numId w:val="6"/>
              </w:numPr>
              <w:overflowPunct/>
              <w:autoSpaceDN/>
            </w:pPr>
            <w:r>
              <w:rPr>
                <w:rStyle w:val="CudocCode"/>
              </w:rPr>
              <w:t xml:space="preserve">wind</w:t>
            </w:r>
          </w:p>
          <w:p>
            <w:pPr>
              <w:pStyle w:val="CudocTableCell"/>
              <w:numPr>
                <w:ilvl w:val="0"/>
                <w:numId w:val="6"/>
              </w:numPr>
              <w:overflowPunct/>
              <w:autoSpaceDN/>
            </w:pPr>
            <w:r>
              <w:rPr>
                <w:rStyle w:val="CudocCode"/>
              </w:rPr>
              <w:t xml:space="preserve">precipitation</w:t>
            </w:r>
          </w:p>
          <w:p>
            <w:pPr>
              <w:pStyle w:val="CudocTableCell"/>
              <w:numPr>
                <w:ilvl w:val="1"/>
                <w:numId w:val="6"/>
              </w:numPr>
              <w:overflowPunct/>
              <w:autoSpaceDN/>
            </w:pPr>
            <w:r>
              <w:t xml:space="preserve">Probability and amount</w:t>
            </w:r>
          </w:p>
        </w:tc>
      </w:tr>
    </w:tbl>
    <w:p>
      <w:pPr>
        <w:pStyle w:val="Heading2"/>
        <w:pageBreakBefore/>
        <w:overflowPunct/>
        <w:autoSpaceDN/>
      </w:pPr>
      <w:bookmarkStart w:name="cudocjYerOFLkfLYDJesMgzCfLHXUFO" w:id="16"/>
      <w:r>
        <w:t xml:space="preserve">Station directory</w:t>
      </w:r>
      <w:bookmarkEnd w:id="16"/>
    </w:p>
    <w:p>
      <w:pPr>
        <w:pStyle w:val="CudocBody"/>
        <w:overflowPunct/>
        <w:autoSpaceDN/>
      </w:pPr>
      <w:r>
        <w:t xml:space="preserve">Lists the stations a key may read, with their location and status.</w:t>
      </w:r>
    </w:p>
    <w:tbl>
      <w:tblPr>
        <w:tblW w:type="pct" w:w="100%"/>
        <w:tblBorders>
          <w:top w:val="single" w:color="E2E8F0" w:sz="4"/>
          <w:left w:val="none" w:color="auto" w:sz="0"/>
          <w:bottom w:val="single" w:color="E2E8F0" w:sz="4"/>
          <w:right w:val="none" w:color="auto" w:sz="0"/>
          <w:insideH w:val="none" w:color="auto" w:sz="0"/>
          <w:insideV w:val="none" w:color="auto" w:sz="0"/>
        </w:tblBorders>
      </w:tblPr>
      <w:tblGrid>
        <w:gridCol w:w="3212"/>
        <w:gridCol w:w="3212"/>
        <w:gridCol w:w="3212"/>
      </w:tblGrid>
      <w:tr>
        <w:trPr>
          <w:cantSplit/>
          <w:tblHeader/>
        </w:trPr>
        <w:tc>
          <w:tcPr>
            <w:tcW w:type="dxa" w:w="321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Method</w:t>
            </w:r>
          </w:p>
        </w:tc>
        <w:tc>
          <w:tcPr>
            <w:tcW w:type="dxa" w:w="321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Path</w:t>
            </w:r>
          </w:p>
        </w:tc>
        <w:tc>
          <w:tcPr>
            <w:tcW w:type="dxa" w:w="321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Auth</w:t>
            </w:r>
          </w:p>
        </w:tc>
      </w:tr>
      <w:tr>
        <w:trPr>
          <w:cantSplit/>
          <w:tblHeader w:val="false"/>
        </w:trPr>
        <w:tc>
          <w:tcPr>
            <w:tcW w:type="dxa" w:w="3212"/>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t xml:space="preserve">GET</w:t>
            </w:r>
          </w:p>
        </w:tc>
        <w:tc>
          <w:tcPr>
            <w:tcW w:type="dxa" w:w="3212"/>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/v1/stations</w:t>
            </w:r>
          </w:p>
        </w:tc>
        <w:tc>
          <w:tcPr>
            <w:tcW w:type="dxa" w:w="3212"/>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t xml:space="preserve">Bearer</w:t>
            </w:r>
          </w:p>
        </w:tc>
      </w:tr>
    </w:tbl>
    <w:p>
      <w:pPr>
        <w:pStyle w:val="CudocSpacer"/>
        <w:spacing w:after="0" w:before="210" w:line="240"/>
      </w:pPr>
    </w:p>
    <w:tbl>
      <w:tblPr>
        <w:tblW w:type="pct" w:w="100%"/>
        <w:tblBorders>
          <w:top w:val="single" w:color="E2E8F0" w:sz="4"/>
          <w:left w:val="none" w:color="auto" w:sz="0"/>
          <w:bottom w:val="single" w:color="E2E8F0" w:sz="4"/>
          <w:right w:val="none" w:color="auto" w:sz="0"/>
          <w:insideH w:val="none" w:color="auto" w:sz="0"/>
          <w:insideV w:val="none" w:color="auto" w:sz="0"/>
        </w:tblBorders>
      </w:tblPr>
      <w:tblGrid>
        <w:gridCol w:w="1772"/>
        <w:gridCol w:w="1772"/>
        <w:gridCol w:w="1772"/>
        <w:gridCol w:w="4320"/>
      </w:tblGrid>
      <w:tr>
        <w:trPr>
          <w:cantSplit/>
          <w:tblHeader/>
        </w:trPr>
        <w:tc>
          <w:tcPr>
            <w:tcW w:type="dxa" w:w="177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Parameter</w:t>
            </w:r>
          </w:p>
        </w:tc>
        <w:tc>
          <w:tcPr>
            <w:tcW w:type="dxa" w:w="177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Type</w:t>
            </w:r>
          </w:p>
        </w:tc>
        <w:tc>
          <w:tcPr>
            <w:tcW w:type="dxa" w:w="177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Required</w:t>
            </w:r>
          </w:p>
        </w:tc>
        <w:tc>
          <w:tcPr>
            <w:tcW w:type="dxa" w:w="4320"/>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Description</w:t>
            </w:r>
          </w:p>
        </w:tc>
      </w:tr>
      <w:tr>
        <w:trPr>
          <w:cantSplit/>
          <w:tblHeader w:val="false"/>
        </w:trPr>
        <w:tc>
          <w:tcPr>
            <w:tcW w:type="dxa" w:w="177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region</w:t>
            </w:r>
          </w:p>
        </w:tc>
        <w:tc>
          <w:tcPr>
            <w:tcW w:type="dxa" w:w="177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string</w:t>
            </w:r>
          </w:p>
        </w:tc>
        <w:tc>
          <w:tcPr>
            <w:tcW w:type="dxa" w:w="177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no</w:t>
            </w:r>
          </w:p>
        </w:tc>
        <w:tc>
          <w:tcPr>
            <w:tcW w:type="dxa" w:w="432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An ISO 3166-2 code to narrow the list.</w:t>
            </w:r>
          </w:p>
        </w:tc>
      </w:tr>
      <w:tr>
        <w:trPr>
          <w:cantSplit/>
          <w:tblHeader w:val="false"/>
        </w:trPr>
        <w:tc>
          <w:tcPr>
            <w:tcW w:type="dxa" w:w="1772"/>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status</w:t>
            </w:r>
          </w:p>
        </w:tc>
        <w:tc>
          <w:tcPr>
            <w:tcW w:type="dxa" w:w="1772"/>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string</w:t>
            </w:r>
          </w:p>
        </w:tc>
        <w:tc>
          <w:tcPr>
            <w:tcW w:type="dxa" w:w="1772"/>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no</w:t>
            </w:r>
          </w:p>
        </w:tc>
        <w:tc>
          <w:tcPr>
            <w:tcW w:type="dxa" w:w="4320"/>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active</w:t>
            </w:r>
            <w:r>
              <w:t xml:space="preserve">, </w:t>
            </w:r>
            <w:r>
              <w:rPr>
                <w:rStyle w:val="CudocCode"/>
              </w:rPr>
              <w:t xml:space="preserve">maintenance</w:t>
            </w:r>
            <w:r>
              <w:t xml:space="preserve"> or </w:t>
            </w:r>
            <w:r>
              <w:rPr>
                <w:rStyle w:val="CudocCode"/>
              </w:rPr>
              <w:t xml:space="preserve">retired</w:t>
            </w:r>
            <w:r>
              <w:t xml:space="preserve">.</w:t>
            </w:r>
          </w:p>
        </w:tc>
      </w:tr>
    </w:tbl>
    <w:p>
      <w:pPr>
        <w:sectPr>
          <w:headerReference w:type="default" r:id="rId23"/>
          <w:headerReference w:type="first" r:id="rId24"/>
          <w:footerReference w:type="default" r:id="rId25"/>
          <w:footerReference w:type="first" r:id="rId26"/>
          <w:pgSz w:w="11906" w:h="16838" w:orient="portrait"/>
          <w:pgMar w:top="1134" w:right="1134" w:bottom="1247" w:left="1134" w:header="708" w:footer="708" w:gutter="0"/>
          <w:pgNumType/>
          <w:docGrid w:linePitch="360"/>
        </w:sectPr>
      </w:pPr>
    </w:p>
    <w:p>
      <w:pPr>
        <w:pStyle w:val="Heading1"/>
        <w:overflowPunct/>
        <w:autoSpaceDN/>
      </w:pPr>
      <w:bookmarkStart w:name="cudocNVUtYegLq1pwV6XrAPDkfwpWd7" w:id="18"/>
      <w:bookmarkEnd w:id="18"/>
      <w:bookmarkStart w:name="cudocWrzvUubieLLpL4pAcOcvkxxZty" w:id="17"/>
      <w:r>
        <w:t xml:space="preserve">Rate limits</w:t>
      </w:r>
      <w:bookmarkEnd w:id="17"/>
    </w:p>
    <w:p>
      <w:pPr>
        <w:pStyle w:val="CudocBody"/>
        <w:overflowPunct/>
        <w:autoSpaceDN/>
      </w:pPr>
      <w:r>
        <w:t xml:space="preserve">Limits protect the stations, which report on fixed schedules, from being asked the same question thousands of times a minute. They are generous for any client that respects the cache.</w:t>
      </w:r>
    </w:p>
    <w:p>
      <w:pPr>
        <w:pStyle w:val="Heading2"/>
        <w:pageBreakBefore/>
        <w:overflowPunct/>
        <w:autoSpaceDN/>
      </w:pPr>
      <w:bookmarkStart w:name="cudocjDz9EmtO2RJTi5l92xOGYhGHIA" w:id="19"/>
      <w:r>
        <w:t xml:space="preserve">Windows</w:t>
      </w:r>
      <w:bookmarkEnd w:id="19"/>
    </w:p>
    <w:p>
      <w:pPr>
        <w:pStyle w:val="CudocBody"/>
        <w:overflowPunct/>
        <w:autoSpaceDN/>
      </w:pPr>
      <w:r>
        <w:t xml:space="preserve">Every plan shares one rule: a key may make 60 requests per rolling minute to </w:t>
      </w:r>
      <w:r>
        <w:rPr>
          <w:rStyle w:val="CudocCode"/>
        </w:rPr>
        <w:t xml:space="preserve">/v1/weather/current</w:t>
      </w:r>
      <w:r>
        <w:t xml:space="preserve"> and 600 per rolling hour across all endpoints. Both counters are reported on every response.</w:t>
      </w:r>
    </w:p>
    <w:tbl>
      <w:tblPr>
        <w:tblW w:type="pct" w:w="100%"/>
        <w:tblBorders>
          <w:top w:val="single" w:color="E2E8F0" w:sz="4"/>
          <w:left w:val="none" w:color="auto" w:sz="0"/>
          <w:bottom w:val="single" w:color="E2E8F0" w:sz="4"/>
          <w:right w:val="none" w:color="auto" w:sz="0"/>
          <w:insideH w:val="none" w:color="auto" w:sz="0"/>
          <w:insideV w:val="none" w:color="auto" w:sz="0"/>
        </w:tblBorders>
      </w:tblPr>
      <w:tblGrid>
        <w:gridCol w:w="5798"/>
        <w:gridCol w:w="3840"/>
      </w:tblGrid>
      <w:tr>
        <w:trPr>
          <w:cantSplit/>
          <w:tblHeader/>
        </w:trPr>
        <w:tc>
          <w:tcPr>
            <w:tcW w:type="dxa" w:w="5798"/>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Header</w:t>
            </w:r>
          </w:p>
        </w:tc>
        <w:tc>
          <w:tcPr>
            <w:tcW w:type="dxa" w:w="3840"/>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Meaning</w:t>
            </w:r>
          </w:p>
        </w:tc>
      </w:tr>
      <w:tr>
        <w:trPr>
          <w:cantSplit/>
          <w:tblHeader w:val="false"/>
        </w:trPr>
        <w:tc>
          <w:tcPr>
            <w:tcW w:type="dxa" w:w="5798"/>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X-Limit-Minute</w:t>
            </w:r>
          </w:p>
        </w:tc>
        <w:tc>
          <w:tcPr>
            <w:tcW w:type="dxa" w:w="384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Requests left in the current minute window.</w:t>
            </w:r>
          </w:p>
        </w:tc>
      </w:tr>
      <w:tr>
        <w:trPr>
          <w:cantSplit/>
          <w:tblHeader w:val="false"/>
        </w:trPr>
        <w:tc>
          <w:tcPr>
            <w:tcW w:type="dxa" w:w="5798"/>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X-Limit-Hour</w:t>
            </w:r>
          </w:p>
        </w:tc>
        <w:tc>
          <w:tcPr>
            <w:tcW w:type="dxa" w:w="3840"/>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Requests left in the current hour window.</w:t>
            </w:r>
          </w:p>
        </w:tc>
      </w:tr>
      <w:tr>
        <w:trPr>
          <w:cantSplit/>
          <w:tblHeader w:val="false"/>
        </w:trPr>
        <w:tc>
          <w:tcPr>
            <w:tcW w:type="dxa" w:w="5798"/>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Retry-After</w:t>
            </w:r>
          </w:p>
        </w:tc>
        <w:tc>
          <w:tcPr>
            <w:tcW w:type="dxa" w:w="3840"/>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t xml:space="preserve">Seconds to wait, present only on a </w:t>
            </w:r>
            <w:r>
              <w:rPr>
                <w:rStyle w:val="CudocCode"/>
              </w:rPr>
              <w:t xml:space="preserve">429</w:t>
            </w:r>
            <w:r>
              <w:t xml:space="preserve">.</w:t>
            </w:r>
          </w:p>
        </w:tc>
      </w:tr>
    </w:tbl>
    <w:p>
      <w:pPr>
        <w:pStyle w:val="Heading3"/>
        <w:overflowPunct/>
        <w:autoSpaceDN/>
      </w:pPr>
      <w:bookmarkStart w:name="cudocv3rHarMXqVOOSiHHl6Erq8Xl29" w:id="20"/>
      <w:r>
        <w:t xml:space="preserve">Backoff</w:t>
      </w:r>
      <w:bookmarkEnd w:id="20"/>
    </w:p>
    <w:p>
      <w:pPr>
        <w:pStyle w:val="CudocBody"/>
        <w:overflowPunct/>
        <w:autoSpaceDN/>
      </w:pPr>
      <w:r>
        <w:t xml:space="preserve">On a </w:t>
      </w:r>
      <w:r>
        <w:rPr>
          <w:rStyle w:val="CudocCode"/>
        </w:rPr>
        <w:t xml:space="preserve">429</w:t>
      </w:r>
      <w:r>
        <w:t xml:space="preserve"> or a </w:t>
      </w:r>
      <w:r>
        <w:rPr>
          <w:rStyle w:val="CudocCode"/>
        </w:rPr>
        <w:t xml:space="preserve">503</w:t>
      </w:r>
      <w:r>
        <w:t xml:space="preserve">, wait for </w:t>
      </w:r>
      <w:r>
        <w:rPr>
          <w:rStyle w:val="CudocCode"/>
        </w:rPr>
        <w:t xml:space="preserve">Retry-After</w:t>
      </w:r>
      <w:r>
        <w:t xml:space="preserve"> when present, otherwise double the delay from one second up to thirty, and stop after five attempts.</w:t>
      </w:r>
    </w:p>
    <w:p>
      <w:pPr>
        <w:pStyle w:val="Heading2"/>
        <w:pageBreakBefore/>
        <w:overflowPunct/>
        <w:autoSpaceDN/>
      </w:pPr>
      <w:bookmarkStart w:name="cudoc8zey7K4Di8xHlBV00R0uBvTRHF" w:id="21"/>
      <w:r>
        <w:t xml:space="preserve">Plans compared</w:t>
      </w:r>
      <w:bookmarkEnd w:id="21"/>
    </w:p>
    <w:p>
      <w:pPr>
        <w:pStyle w:val="CudocBody"/>
        <w:overflowPunct/>
        <w:autoSpaceDN/>
      </w:pPr>
      <w:r>
        <w:t xml:space="preserve">The table has seven columns, so the paginated outputs put it on a landscape page of its own.</w:t>
      </w:r>
    </w:p>
    <w:p>
      <w:pPr>
        <w:sectPr>
          <w:headerReference w:type="default" r:id="rId27"/>
          <w:headerReference w:type="first" r:id="rId28"/>
          <w:footerReference w:type="default" r:id="rId29"/>
          <w:footerReference w:type="first" r:id="rId30"/>
          <w:pgSz w:w="11906" w:h="16838" w:orient="portrait"/>
          <w:pgMar w:top="1134" w:right="1134" w:bottom="1247" w:left="1134" w:header="708" w:footer="708" w:gutter="0"/>
          <w:pgNumType/>
          <w:docGrid w:linePitch="360"/>
        </w:sectPr>
      </w:pPr>
    </w:p>
    <w:tbl>
      <w:tblPr>
        <w:tblW w:type="pct" w:w="100%"/>
        <w:tblBorders>
          <w:top w:val="single" w:color="E2E8F0" w:sz="4"/>
          <w:left w:val="none" w:color="auto" w:sz="0"/>
          <w:bottom w:val="single" w:color="E2E8F0" w:sz="4"/>
          <w:right w:val="none" w:color="auto" w:sz="0"/>
          <w:insideH w:val="none" w:color="auto" w:sz="0"/>
          <w:insideV w:val="none" w:color="auto" w:sz="0"/>
        </w:tblBorders>
      </w:tblPr>
      <w:tblGrid>
        <w:gridCol w:w="2081"/>
        <w:gridCol w:w="2081"/>
        <w:gridCol w:w="2081"/>
        <w:gridCol w:w="2081"/>
        <w:gridCol w:w="2081"/>
        <w:gridCol w:w="2081"/>
        <w:gridCol w:w="2081"/>
      </w:tblGrid>
      <w:tr>
        <w:trPr>
          <w:cantSplit/>
          <w:tblHeader/>
        </w:trPr>
        <w:tc>
          <w:tcPr>
            <w:tcW w:type="dxa" w:w="2081"/>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Plan</w:t>
            </w:r>
          </w:p>
        </w:tc>
        <w:tc>
          <w:tcPr>
            <w:tcW w:type="dxa" w:w="2081"/>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Stations</w:t>
            </w:r>
          </w:p>
        </w:tc>
        <w:tc>
          <w:tcPr>
            <w:tcW w:type="dxa" w:w="2081"/>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Minute window</w:t>
            </w:r>
          </w:p>
        </w:tc>
        <w:tc>
          <w:tcPr>
            <w:tcW w:type="dxa" w:w="2081"/>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Hour window</w:t>
            </w:r>
          </w:p>
        </w:tc>
        <w:tc>
          <w:tcPr>
            <w:tcW w:type="dxa" w:w="2081"/>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Forecast hours</w:t>
            </w:r>
          </w:p>
        </w:tc>
        <w:tc>
          <w:tcPr>
            <w:tcW w:type="dxa" w:w="2081"/>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History</w:t>
            </w:r>
          </w:p>
        </w:tc>
        <w:tc>
          <w:tcPr>
            <w:tcW w:type="dxa" w:w="2081"/>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Support</w:t>
            </w:r>
          </w:p>
        </w:tc>
      </w:tr>
      <w:tr>
        <w:trPr>
          <w:cantSplit/>
          <w:tblHeader w:val="false"/>
        </w:trPr>
        <w:tc>
          <w:tcPr>
            <w:tcW w:type="dxa" w:w="2081"/>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Community</w:t>
            </w:r>
          </w:p>
        </w:tc>
        <w:tc>
          <w:tcPr>
            <w:tcW w:type="dxa" w:w="2081"/>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3</w:t>
            </w:r>
          </w:p>
        </w:tc>
        <w:tc>
          <w:tcPr>
            <w:tcW w:type="dxa" w:w="2081"/>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60</w:t>
            </w:r>
          </w:p>
        </w:tc>
        <w:tc>
          <w:tcPr>
            <w:tcW w:type="dxa" w:w="2081"/>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600</w:t>
            </w:r>
          </w:p>
        </w:tc>
        <w:tc>
          <w:tcPr>
            <w:tcW w:type="dxa" w:w="2081"/>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24</w:t>
            </w:r>
          </w:p>
        </w:tc>
        <w:tc>
          <w:tcPr>
            <w:tcW w:type="dxa" w:w="2081"/>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7 days</w:t>
            </w:r>
          </w:p>
        </w:tc>
        <w:tc>
          <w:tcPr>
            <w:tcW w:type="dxa" w:w="2081"/>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Forum</w:t>
            </w:r>
          </w:p>
        </w:tc>
      </w:tr>
      <w:tr>
        <w:trPr>
          <w:cantSplit/>
          <w:tblHeader w:val="false"/>
        </w:trPr>
        <w:tc>
          <w:tcPr>
            <w:tcW w:type="dxa" w:w="2081"/>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Team</w:t>
            </w:r>
          </w:p>
        </w:tc>
        <w:tc>
          <w:tcPr>
            <w:tcW w:type="dxa" w:w="2081"/>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25</w:t>
            </w:r>
          </w:p>
        </w:tc>
        <w:tc>
          <w:tcPr>
            <w:tcW w:type="dxa" w:w="2081"/>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120</w:t>
            </w:r>
          </w:p>
        </w:tc>
        <w:tc>
          <w:tcPr>
            <w:tcW w:type="dxa" w:w="2081"/>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6,000</w:t>
            </w:r>
          </w:p>
        </w:tc>
        <w:tc>
          <w:tcPr>
            <w:tcW w:type="dxa" w:w="2081"/>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48</w:t>
            </w:r>
          </w:p>
        </w:tc>
        <w:tc>
          <w:tcPr>
            <w:tcW w:type="dxa" w:w="2081"/>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90 days</w:t>
            </w:r>
          </w:p>
        </w:tc>
        <w:tc>
          <w:tcPr>
            <w:tcW w:type="dxa" w:w="2081"/>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Email, 2 days</w:t>
            </w:r>
          </w:p>
        </w:tc>
      </w:tr>
      <w:tr>
        <w:trPr>
          <w:cantSplit/>
          <w:tblHeader w:val="false"/>
        </w:trPr>
        <w:tc>
          <w:tcPr>
            <w:tcW w:type="dxa" w:w="2081"/>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Business</w:t>
            </w:r>
          </w:p>
        </w:tc>
        <w:tc>
          <w:tcPr>
            <w:tcW w:type="dxa" w:w="2081"/>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250</w:t>
            </w:r>
          </w:p>
        </w:tc>
        <w:tc>
          <w:tcPr>
            <w:tcW w:type="dxa" w:w="2081"/>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600</w:t>
            </w:r>
          </w:p>
        </w:tc>
        <w:tc>
          <w:tcPr>
            <w:tcW w:type="dxa" w:w="2081"/>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60,000</w:t>
            </w:r>
          </w:p>
        </w:tc>
        <w:tc>
          <w:tcPr>
            <w:tcW w:type="dxa" w:w="2081"/>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48</w:t>
            </w:r>
          </w:p>
        </w:tc>
        <w:tc>
          <w:tcPr>
            <w:tcW w:type="dxa" w:w="2081"/>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1 year</w:t>
            </w:r>
          </w:p>
        </w:tc>
        <w:tc>
          <w:tcPr>
            <w:tcW w:type="dxa" w:w="2081"/>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Email, 1 day</w:t>
            </w:r>
          </w:p>
        </w:tc>
      </w:tr>
      <w:tr>
        <w:trPr>
          <w:cantSplit/>
          <w:tblHeader w:val="false"/>
        </w:trPr>
        <w:tc>
          <w:tcPr>
            <w:tcW w:type="dxa" w:w="2081"/>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Enterprise</w:t>
            </w:r>
          </w:p>
        </w:tc>
        <w:tc>
          <w:tcPr>
            <w:tcW w:type="dxa" w:w="2081"/>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Custom</w:t>
            </w:r>
          </w:p>
        </w:tc>
        <w:tc>
          <w:tcPr>
            <w:tcW w:type="dxa" w:w="2081"/>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Custom</w:t>
            </w:r>
          </w:p>
        </w:tc>
        <w:tc>
          <w:tcPr>
            <w:tcW w:type="dxa" w:w="2081"/>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Custom</w:t>
            </w:r>
          </w:p>
        </w:tc>
        <w:tc>
          <w:tcPr>
            <w:tcW w:type="dxa" w:w="2081"/>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48</w:t>
            </w:r>
          </w:p>
        </w:tc>
        <w:tc>
          <w:tcPr>
            <w:tcW w:type="dxa" w:w="2081"/>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Custom</w:t>
            </w:r>
          </w:p>
        </w:tc>
        <w:tc>
          <w:tcPr>
            <w:tcW w:type="dxa" w:w="2081"/>
            <w:gridSpan w:val="1"/>
            <w:tcBorders>
              <w:top w:val="none" w:color="auto" w:sz="0"/>
              <w:left w:val="none" w:color="auto" w:sz="0"/>
              <w:bottom w:val="none" w:color="auto" w:sz="0"/>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Named contact</w:t>
            </w:r>
          </w:p>
        </w:tc>
      </w:tr>
    </w:tbl>
    <w:p>
      <w:pPr>
        <w:sectPr>
          <w:headerReference w:type="default" r:id="rId31"/>
          <w:headerReference w:type="first" r:id="rId32"/>
          <w:footerReference w:type="default" r:id="rId33"/>
          <w:footerReference w:type="first" r:id="rId34"/>
          <w:pgSz w:w="16838" w:h="11906" w:orient="landscape"/>
          <w:pgMar w:top="1134" w:right="1134" w:bottom="1247" w:left="1134" w:header="708" w:footer="708" w:gutter="0"/>
          <w:pgNumType/>
          <w:docGrid w:linePitch="360"/>
        </w:sectPr>
      </w:pPr>
    </w:p>
    <w:p>
      <w:pPr>
        <w:spacing w:before="210"/>
      </w:pPr>
      <w:r>
        <w:br w:type="page"/>
      </w:r>
    </w:p>
    <w:p>
      <w:pPr>
        <w:pStyle w:val="Heading2"/>
        <w:pageBreakBefore/>
        <w:overflowPunct/>
        <w:autoSpaceDN/>
      </w:pPr>
      <w:bookmarkStart w:name="cudocAuSR5IEYaEyKOF8QgyDuwu0sLF" w:id="22"/>
      <w:r>
        <w:t xml:space="preserve">Appendix: measuring your own usage</w:t>
      </w:r>
      <w:bookmarkEnd w:id="22"/>
    </w:p>
    <w:p>
      <w:pPr>
        <w:pStyle w:val="CudocBody"/>
        <w:overflowPunct/>
        <w:autoSpaceDN/>
      </w:pPr>
      <w:r>
        <w:t xml:space="preserve">Log the two limit headers with every response and chart the minimum per minute. A flat line near zero means a client is polling faster than the sixty-second cache refreshes; slow it down rather than raising the plan.</w:t>
      </w:r>
    </w:p>
    <w:p>
      <w:pPr>
        <w:pStyle w:val="CudocCalloutCautionTitle"/>
        <w:overflowPunct/>
        <w:autoSpaceDN/>
      </w:pPr>
      <w:r>
        <w:t xml:space="preserve">Retired keys keep counting</w:t>
      </w:r>
    </w:p>
    <w:p>
      <w:pPr>
        <w:pStyle w:val="CudocCalloutCaution"/>
        <w:overflowPunct/>
        <w:autoSpaceDN/>
      </w:pPr>
      <w:r>
        <w:t xml:space="preserve">Requests made with a retired key are rejected but still counted against the project for one hour, so rotate keys during a quiet period.</w:t>
      </w:r>
    </w:p>
    <w:p>
      <w:pPr>
        <w:sectPr>
          <w:headerReference w:type="default" r:id="rId35"/>
          <w:headerReference w:type="first" r:id="rId36"/>
          <w:footerReference w:type="default" r:id="rId37"/>
          <w:footerReference w:type="first" r:id="rId38"/>
          <w:pgSz w:w="11906" w:h="16838" w:orient="portrait"/>
          <w:pgMar w:top="1134" w:right="1134" w:bottom="1247" w:left="1134" w:header="708" w:footer="708" w:gutter="0"/>
          <w:pgNumType/>
          <w:docGrid w:linePitch="360"/>
        </w:sectPr>
      </w:pPr>
    </w:p>
    <w:p>
      <w:pPr>
        <w:pStyle w:val="Heading1"/>
        <w:overflowPunct/>
        <w:autoSpaceDN/>
      </w:pPr>
      <w:bookmarkStart w:name="cudoc4Z0Xa2EVZhwfpqtgEkCOSwGMe1" w:id="24"/>
      <w:bookmarkEnd w:id="24"/>
      <w:bookmarkStart w:name="cudocHH0R3sP7IgS2YmCcoVlpKSCGhL" w:id="23"/>
      <w:r>
        <w:t xml:space="preserve">Error codes</w:t>
      </w:r>
      <w:bookmarkEnd w:id="23"/>
    </w:p>
    <w:p>
      <w:pPr>
        <w:pStyle w:val="CudocBody"/>
        <w:overflowPunct/>
        <w:autoSpaceDN/>
      </w:pPr>
      <w:r>
        <w:t xml:space="preserve">Every error response carries a </w:t>
      </w:r>
      <w:r>
        <w:rPr>
          <w:rStyle w:val="CudocCode"/>
        </w:rPr>
        <w:t xml:space="preserve">code</w:t>
      </w:r>
      <w:r>
        <w:t xml:space="preserve"> from this table and a human-readable </w:t>
      </w:r>
      <w:r>
        <w:rPr>
          <w:rStyle w:val="CudocCode"/>
        </w:rPr>
        <w:t xml:space="preserve">message</w:t>
      </w:r>
      <w:r>
        <w:t xml:space="preserve"> that may change between releases; branch on the code, never on the message.</w:t>
      </w:r>
    </w:p>
    <w:tbl>
      <w:tblPr>
        <w:tblW w:type="pct" w:w="100%"/>
        <w:tblBorders>
          <w:top w:val="single" w:color="E2E8F0" w:sz="4"/>
          <w:left w:val="none" w:color="auto" w:sz="0"/>
          <w:bottom w:val="single" w:color="E2E8F0" w:sz="4"/>
          <w:right w:val="none" w:color="auto" w:sz="0"/>
          <w:insideH w:val="none" w:color="auto" w:sz="0"/>
          <w:insideV w:val="none" w:color="auto" w:sz="0"/>
        </w:tblBorders>
      </w:tblPr>
      <w:tblGrid>
        <w:gridCol w:w="1932"/>
        <w:gridCol w:w="1932"/>
        <w:gridCol w:w="3840"/>
        <w:gridCol w:w="1932"/>
      </w:tblGrid>
      <w:tr>
        <w:trPr>
          <w:cantSplit/>
          <w:tblHeader/>
        </w:trPr>
        <w:tc>
          <w:tcPr>
            <w:tcW w:type="dxa" w:w="193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Code</w:t>
            </w:r>
          </w:p>
        </w:tc>
        <w:tc>
          <w:tcPr>
            <w:tcW w:type="dxa" w:w="193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HTTP</w:t>
            </w:r>
          </w:p>
        </w:tc>
        <w:tc>
          <w:tcPr>
            <w:tcW w:type="dxa" w:w="3840"/>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Meaning</w:t>
            </w:r>
          </w:p>
        </w:tc>
        <w:tc>
          <w:tcPr>
            <w:tcW w:type="dxa" w:w="1932"/>
            <w:gridSpan w:val="1"/>
            <w:tcBorders>
              <w:top w:val="none" w:color="auto" w:sz="0"/>
              <w:left w:val="none" w:color="auto" w:sz="0"/>
              <w:bottom w:val="single" w:color="E2E8F0" w:sz="4"/>
              <w:right w:val="none" w:color="auto" w:sz="0"/>
            </w:tcBorders>
            <w:tcMar>
              <w:top w:type="dxa" w:w="105"/>
              <w:left w:type="dxa" w:w="158"/>
              <w:bottom w:type="dxa" w:w="105"/>
              <w:right w:type="dxa" w:w="158"/>
            </w:tcMar>
            <w:vAlign w:val="top"/>
          </w:tcPr>
          <w:p>
            <w:pPr>
              <w:pStyle w:val="CudocTableHeader"/>
              <w:overflowPunct/>
              <w:autoSpaceDN/>
            </w:pPr>
            <w:r>
              <w:t xml:space="preserve">Retry</w:t>
            </w:r>
          </w:p>
        </w:tc>
      </w:tr>
      <w:tr>
        <w:trPr>
          <w:cantSplit/>
          <w:tblHeader w:val="false"/>
        </w:trPr>
        <w:tc>
          <w:tcPr>
            <w:tcW w:type="dxa" w:w="193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station_unknown</w:t>
            </w:r>
          </w:p>
        </w:tc>
        <w:tc>
          <w:tcPr>
            <w:tcW w:type="dxa" w:w="193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404</w:t>
            </w:r>
          </w:p>
        </w:tc>
        <w:tc>
          <w:tcPr>
            <w:tcW w:type="dxa" w:w="384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No station has that code.</w:t>
            </w:r>
          </w:p>
        </w:tc>
        <w:tc>
          <w:tcPr>
            <w:tcW w:type="dxa" w:w="193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No</w:t>
            </w:r>
          </w:p>
        </w:tc>
      </w:tr>
      <w:tr>
        <w:trPr>
          <w:cantSplit/>
          <w:tblHeader w:val="false"/>
        </w:trPr>
        <w:tc>
          <w:tcPr>
            <w:tcW w:type="dxa" w:w="1932"/>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station_retired</w:t>
            </w:r>
          </w:p>
        </w:tc>
        <w:tc>
          <w:tcPr>
            <w:tcW w:type="dxa" w:w="1932"/>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410</w:t>
            </w:r>
          </w:p>
        </w:tc>
        <w:tc>
          <w:tcPr>
            <w:tcW w:type="dxa" w:w="3840"/>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The station stopped reporting permanently.</w:t>
            </w:r>
          </w:p>
        </w:tc>
        <w:tc>
          <w:tcPr>
            <w:tcW w:type="dxa" w:w="1932"/>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No</w:t>
            </w:r>
          </w:p>
        </w:tc>
      </w:tr>
      <w:tr>
        <w:trPr>
          <w:cantSplit/>
          <w:tblHeader w:val="false"/>
        </w:trPr>
        <w:tc>
          <w:tcPr>
            <w:tcW w:type="dxa" w:w="193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key_scope</w:t>
            </w:r>
          </w:p>
        </w:tc>
        <w:tc>
          <w:tcPr>
            <w:tcW w:type="dxa" w:w="193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403</w:t>
            </w:r>
          </w:p>
        </w:tc>
        <w:tc>
          <w:tcPr>
            <w:tcW w:type="dxa" w:w="3840"/>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The key's project does not cover the station.</w:t>
            </w:r>
          </w:p>
        </w:tc>
        <w:tc>
          <w:tcPr>
            <w:tcW w:type="dxa" w:w="1932"/>
            <w:gridSpan w:val="1"/>
            <w:tcBorders>
              <w:top w:val="none" w:color="auto" w:sz="0"/>
              <w:left w:val="none" w:color="auto" w:sz="0"/>
              <w:bottom w:val="single" w:color="EEF2F7" w:sz="4"/>
              <w:right w:val="none" w:color="auto" w:sz="0"/>
            </w:tcBorders>
            <w:tcMar>
              <w:top w:type="dxa" w:w="105"/>
              <w:left w:type="dxa" w:w="158"/>
              <w:bottom w:type="dxa" w:w="105"/>
              <w:right w:type="dxa" w:w="158"/>
            </w:tcMar>
            <w:vAlign w:val="top"/>
          </w:tcPr>
          <w:p>
            <w:pPr>
              <w:pStyle w:val="CudocTableCell"/>
              <w:overflowPunct/>
              <w:autoSpaceDN/>
            </w:pPr>
            <w:r>
              <w:t xml:space="preserve">No</w:t>
            </w:r>
          </w:p>
        </w:tc>
      </w:tr>
      <w:tr>
        <w:trPr>
          <w:cantSplit/>
          <w:tblHeader w:val="false"/>
        </w:trPr>
        <w:tc>
          <w:tcPr>
            <w:tcW w:type="dxa" w:w="1932"/>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rPr>
                <w:rStyle w:val="CudocCode"/>
              </w:rPr>
              <w:t xml:space="preserve">rate_limited</w:t>
            </w:r>
          </w:p>
        </w:tc>
        <w:tc>
          <w:tcPr>
            <w:tcW w:type="dxa" w:w="1932"/>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429</w:t>
            </w:r>
          </w:p>
        </w:tc>
        <w:tc>
          <w:tcPr>
            <w:tcW w:type="dxa" w:w="3840"/>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The window is exhausted.</w:t>
            </w:r>
          </w:p>
        </w:tc>
        <w:tc>
          <w:tcPr>
            <w:tcW w:type="dxa" w:w="1932"/>
            <w:gridSpan w:val="1"/>
            <w:tcBorders>
              <w:top w:val="none" w:color="auto" w:sz="0"/>
              <w:left w:val="none" w:color="auto" w:sz="0"/>
              <w:bottom w:val="single" w:color="EEF2F7" w:sz="4"/>
              <w:right w:val="none" w:color="auto" w:sz="0"/>
            </w:tcBorders>
            <w:shd w:fill="FAFBFD" w:val="clear"/>
            <w:tcMar>
              <w:top w:type="dxa" w:w="105"/>
              <w:left w:type="dxa" w:w="158"/>
              <w:bottom w:type="dxa" w:w="105"/>
              <w:right w:type="dxa" w:w="158"/>
            </w:tcMar>
            <w:vAlign w:val="top"/>
          </w:tcPr>
          <w:p>
            <w:pPr>
              <w:pStyle w:val="CudocTableCell"/>
              <w:overflowPunct/>
              <w:autoSpaceDN/>
            </w:pPr>
            <w:r>
              <w:t xml:space="preserve">After </w:t>
            </w:r>
            <w:r>
              <w:rPr>
                <w:rStyle w:val="CudocCode"/>
              </w:rPr>
              <w:t xml:space="preserve">Retry-After</w:t>
            </w:r>
          </w:p>
        </w:tc>
      </w:tr>
      <w:tr>
        <w:trPr>
          <w:cantSplit/>
          <w:tblHeader w:val="false"/>
        </w:trPr>
        <w:tc>
          <w:tcPr>
            <w:tcW w:type="dxa" w:w="1932"/>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rPr>
                <w:rStyle w:val="CudocCode"/>
              </w:rPr>
              <w:t xml:space="preserve">upstream_delayed</w:t>
            </w:r>
          </w:p>
        </w:tc>
        <w:tc>
          <w:tcPr>
            <w:tcW w:type="dxa" w:w="1932"/>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t xml:space="preserve">503</w:t>
            </w:r>
          </w:p>
        </w:tc>
        <w:tc>
          <w:tcPr>
            <w:tcW w:type="dxa" w:w="3840"/>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t xml:space="preserve">The station has not reported in time.</w:t>
            </w:r>
          </w:p>
        </w:tc>
        <w:tc>
          <w:tcPr>
            <w:tcW w:type="dxa" w:w="1932"/>
            <w:gridSpan w:val="1"/>
            <w:tcBorders>
              <w:top w:val="none" w:color="auto" w:sz="0"/>
              <w:left w:val="none" w:color="auto" w:sz="0"/>
              <w:bottom w:val="none" w:color="auto" w:sz="0"/>
              <w:right w:val="none" w:color="auto" w:sz="0"/>
            </w:tcBorders>
            <w:tcMar>
              <w:top w:type="dxa" w:w="105"/>
              <w:left w:type="dxa" w:w="158"/>
              <w:bottom w:type="dxa" w:w="105"/>
              <w:right w:type="dxa" w:w="158"/>
            </w:tcMar>
            <w:vAlign w:val="top"/>
          </w:tcPr>
          <w:p>
            <w:pPr>
              <w:pStyle w:val="CudocTableCell"/>
              <w:overflowPunct/>
              <w:autoSpaceDN/>
            </w:pPr>
            <w:r>
              <w:t xml:space="preserve">With backoff</w:t>
            </w:r>
          </w:p>
        </w:tc>
      </w:tr>
    </w:tbl>
    <w:p>
      <w:pPr>
        <w:pStyle w:val="CudocSpacer"/>
        <w:spacing w:after="0" w:before="210" w:line="240"/>
      </w:pPr>
    </w:p>
    <w:p>
      <w:pPr>
        <w:pStyle w:val="CudocCalloutNoteTitle"/>
        <w:overflowPunct/>
        <w:autoSpaceDN/>
      </w:pPr>
      <w:r>
        <w:t xml:space="preserve">Retrying</w:t>
      </w:r>
    </w:p>
    <w:p>
      <w:pPr>
        <w:pStyle w:val="CudocCalloutNote"/>
        <w:overflowPunct/>
        <w:autoSpaceDN/>
      </w:pPr>
      <w:r>
        <w:t xml:space="preserve">The backoff rule for </w:t>
      </w:r>
      <w:r>
        <w:rPr>
          <w:rStyle w:val="CudocCode"/>
        </w:rPr>
        <w:t xml:space="preserve">rate_limited</w:t>
      </w:r>
      <w:r>
        <w:t xml:space="preserve"> and </w:t>
      </w:r>
      <w:r>
        <w:rPr>
          <w:rStyle w:val="CudocCode"/>
        </w:rPr>
        <w:t xml:space="preserve">upstream_delayed</w:t>
      </w:r>
      <w:r>
        <w:t xml:space="preserve"> is in </w:t>
      </w:r>
      <w:hyperlink w:history="1" w:anchor="cudocv3rHarMXqVOOSiHHl6Erq8Xl29">
        <w:r>
          <w:t xml:space="preserve">Rate limits</w:t>
        </w:r>
      </w:hyperlink>
      <w:r>
        <w:t xml:space="preserve">.</w:t>
      </w:r>
    </w:p>
    <w:p>
      <w:pPr>
        <w:sectPr>
          <w:headerReference w:type="default" r:id="rId39"/>
          <w:headerReference w:type="first" r:id="rId40"/>
          <w:footerReference w:type="default" r:id="rId41"/>
          <w:footerReference w:type="first" r:id="rId42"/>
          <w:pgSz w:w="11906" w:h="16838" w:orient="portrait"/>
          <w:pgMar w:top="1134" w:right="1134" w:bottom="1247" w:left="1134" w:header="708" w:footer="708" w:gutter="0"/>
          <w:pgNumType/>
          <w:docGrid w:linePitch="360"/>
        </w:sectPr>
      </w:pPr>
    </w:p>
    <w:p>
      <w:pPr>
        <w:pStyle w:val="Heading1"/>
        <w:overflowPunct/>
        <w:autoSpaceDN/>
      </w:pPr>
      <w:bookmarkStart w:name="cudoc4Cwq89j0DczewFXNDxbXF9XQo3" w:id="26"/>
      <w:bookmarkEnd w:id="26"/>
      <w:bookmarkStart w:name="cudocclX30dEGlnwUWiJ9iueSqV5zfI" w:id="25"/>
      <w:r>
        <w:t xml:space="preserve">Release notes</w:t>
      </w:r>
      <w:bookmarkEnd w:id="25"/>
    </w:p>
    <w:p>
      <w:pPr>
        <w:pStyle w:val="CudocBody"/>
        <w:overflowPunct/>
        <w:autoSpaceDN/>
      </w:pPr>
      <w:r>
        <w:t xml:space="preserve">Changes to the API, newest first. Dates are the day a change reached every region.</w:t>
      </w:r>
    </w:p>
    <w:p>
      <w:pPr>
        <w:pStyle w:val="Heading2"/>
        <w:pageBreakBefore/>
        <w:overflowPunct/>
        <w:autoSpaceDN/>
      </w:pPr>
      <w:bookmarkStart w:name="cudocxWTEo3eYpQ0Ng2rEeqmTuB2wvm" w:id="27"/>
      <w:r>
        <w:t xml:space="preserve">2026-09-15  </w:t>
      </w:r>
      <w:r>
        <w:rPr>
          <w:rStyle w:val="CudocBadge"/>
        </w:rPr>
        <w:t xml:space="preserve"> Latest </w:t>
      </w:r>
      <w:r>
        <w:t xml:space="preserve"/>
      </w:r>
      <w:bookmarkEnd w:id="27"/>
    </w:p>
    <w:p>
      <w:pPr>
        <w:pStyle w:val="CudocListItem"/>
        <w:numPr>
          <w:ilvl w:val="0"/>
          <w:numId w:val="7"/>
        </w:numPr>
        <w:overflowPunct/>
        <w:autoSpaceDN/>
      </w:pPr>
      <w:r>
        <w:rPr>
          <w:rStyle w:val="CudocCode"/>
        </w:rPr>
        <w:t xml:space="preserve">fields</w:t>
      </w:r>
      <w:r>
        <w:t xml:space="preserve"> on the hourly forecast accepts </w:t>
      </w:r>
      <w:r>
        <w:rPr>
          <w:rStyle w:val="CudocCode"/>
        </w:rPr>
        <w:t xml:space="preserve">precipitation</w:t>
      </w:r>
      <w:r>
        <w:t xml:space="preserve">, returning probability and expected amount. → </w:t>
      </w:r>
      <w:hyperlink w:history="1" w:anchor="cudoccZHVnNykLQ6O0AgbTJsrJ1TiSQ">
        <w:r>
          <w:t xml:space="preserve">Hourly forecast</w:t>
        </w:r>
      </w:hyperlink>
    </w:p>
    <w:p>
      <w:pPr>
        <w:pStyle w:val="CudocListItem"/>
        <w:numPr>
          <w:ilvl w:val="0"/>
          <w:numId w:val="7"/>
        </w:numPr>
        <w:overflowPunct/>
        <w:autoSpaceDN/>
      </w:pPr>
      <w:r>
        <w:rPr>
          <w:rStyle w:val="CudocCode"/>
        </w:rPr>
        <w:t xml:space="preserve">X-Limit-Hour</w:t>
      </w:r>
      <w:r>
        <w:t xml:space="preserve"> is now sent on every response, not only when the minute window is low.</w:t>
      </w:r>
    </w:p>
    <w:p>
      <w:pPr>
        <w:pStyle w:val="Heading2"/>
        <w:pageBreakBefore/>
        <w:overflowPunct/>
        <w:autoSpaceDN/>
      </w:pPr>
      <w:bookmarkStart w:name="cudoct6XhcNmIS9p2vPIuabiAARubwC" w:id="28"/>
      <w:r>
        <w:t xml:space="preserve">2026-07-02</w:t>
      </w:r>
      <w:bookmarkEnd w:id="28"/>
    </w:p>
    <w:p>
      <w:pPr>
        <w:pStyle w:val="CudocListItem"/>
        <w:numPr>
          <w:ilvl w:val="0"/>
          <w:numId w:val="8"/>
        </w:numPr>
        <w:overflowPunct/>
        <w:autoSpaceDN/>
      </w:pPr>
      <w:r>
        <w:t xml:space="preserve">Readings older than fifteen minutes carry </w:t>
      </w:r>
      <w:r>
        <w:rPr>
          <w:rStyle w:val="CudocCode"/>
        </w:rPr>
        <w:t xml:space="preserve">stale: true</w:t>
      </w:r>
      <w:r>
        <w:t xml:space="preserve"> instead of being withheld.</w:t>
      </w:r>
    </w:p>
    <w:p>
      <w:pPr>
        <w:pStyle w:val="CudocListItem"/>
        <w:numPr>
          <w:ilvl w:val="0"/>
          <w:numId w:val="8"/>
        </w:numPr>
        <w:overflowPunct/>
        <w:autoSpaceDN/>
      </w:pPr>
      <w:r>
        <w:t xml:space="preserve">The </w:t>
      </w:r>
      <w:r>
        <w:rPr>
          <w:rStyle w:val="CudocCode"/>
        </w:rPr>
        <w:t xml:space="preserve">station_retired</w:t>
      </w:r>
      <w:r>
        <w:t xml:space="preserve"> error replaces a generic </w:t>
      </w:r>
      <w:r>
        <w:rPr>
          <w:rStyle w:val="CudocCode"/>
        </w:rPr>
        <w:t xml:space="preserve">404</w:t>
      </w:r>
      <w:r>
        <w:t xml:space="preserve"> for stations that stopped reporting permanently.</w:t>
      </w:r>
    </w:p>
    <w:p>
      <w:pPr>
        <w:pStyle w:val="Heading2"/>
        <w:pageBreakBefore/>
        <w:overflowPunct/>
        <w:autoSpaceDN/>
      </w:pPr>
      <w:bookmarkStart w:name="cudocwwCzsxRxUTGcr8CEiCEESQ398g" w:id="29"/>
      <w:r>
        <w:t xml:space="preserve">2026-04-10</w:t>
      </w:r>
      <w:bookmarkEnd w:id="29"/>
    </w:p>
    <w:p>
      <w:pPr>
        <w:pStyle w:val="CudocListItem"/>
        <w:numPr>
          <w:ilvl w:val="0"/>
          <w:numId w:val="9"/>
        </w:numPr>
        <w:overflowPunct/>
        <w:autoSpaceDN/>
      </w:pPr>
      <w:r>
        <w:t xml:space="preserve">First public release of </w:t>
      </w:r>
      <w:r>
        <w:rPr>
          <w:rStyle w:val="CudocCode"/>
        </w:rPr>
        <w:t xml:space="preserve">/v1</w:t>
      </w:r>
      <w:r>
        <w:t xml:space="preserve">.</w:t>
      </w:r>
    </w:p>
    <w:p>
      <w:pPr>
        <w:pStyle w:val="CudocCalloutSuccessTitle"/>
        <w:overflowPunct/>
        <w:autoSpaceDN/>
      </w:pPr>
      <w:r>
        <w:t xml:space="preserve">Deprecation policy</w:t>
      </w:r>
    </w:p>
    <w:p>
      <w:pPr>
        <w:pStyle w:val="CudocCalloutSuccess"/>
        <w:overflowPunct/>
        <w:autoSpaceDN/>
      </w:pPr>
      <w:r>
        <w:t xml:space="preserve">A field or endpoint is announced here at least ninety days before it changes shape, and the previous behaviour stays available for that period.</w:t>
      </w:r>
    </w:p>
    <w:sectPr>
      <w:headerReference w:type="default" r:id="rId43"/>
      <w:headerReference w:type="first" r:id="rId44"/>
      <w:footerReference w:type="default" r:id="rId45"/>
      <w:footerReference w:type="first" r:id="rId46"/>
      <w:pgSz w:w="11906" w:h="16838" w:orient="portrait"/>
      <w:pgMar w:top="1134" w:right="1134" w:bottom="1247"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udocRunning"/>
      <w:tabs>
        <w:tab w:val="center" w:pos="4819"/>
        <w:tab w:val="right" w:pos="9638"/>
      </w:tabs>
    </w:pPr>
    <w:r/>
    <w:r>
      <w:tab/>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r>
      <w:tab/>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udocRunning"/>
      <w:tabs>
        <w:tab w:val="center" w:pos="4819"/>
        <w:tab w:val="right" w:pos="9638"/>
      </w:tabs>
    </w:pPr>
    <w:r/>
    <w:r>
      <w:tab/>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r>
      <w:tab/>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udocRunning"/>
      <w:tabs>
        <w:tab w:val="center" w:pos="4819"/>
        <w:tab w:val="right" w:pos="9638"/>
      </w:tabs>
    </w:pPr>
    <w:r/>
    <w:r>
      <w:tab/>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r>
      <w:tab/>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udocRunning"/>
      <w:tabs>
        <w:tab w:val="center" w:pos="4819"/>
        <w:tab w:val="right" w:pos="9638"/>
      </w:tabs>
    </w:pPr>
    <w:r/>
    <w:r>
      <w:tab/>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r>
      <w:tab/>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udocRunning"/>
      <w:tabs>
        <w:tab w:val="center" w:pos="4819"/>
        <w:tab w:val="right" w:pos="9638"/>
      </w:tabs>
    </w:pPr>
    <w:r/>
    <w:r>
      <w:tab/>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r>
      <w:tab/>
    </w: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er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udocRunning"/>
      <w:tabs>
        <w:tab w:val="center" w:pos="4819"/>
        <w:tab w:val="right" w:pos="9638"/>
      </w:tabs>
    </w:pPr>
    <w:r/>
    <w:r>
      <w:tab/>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r>
      <w:tab/>
    </w:r>
  </w:p>
</w:ftr>
</file>

<file path=word/footer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er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udocRunning"/>
      <w:tabs>
        <w:tab w:val="center" w:pos="7285"/>
        <w:tab w:val="right" w:pos="14570"/>
      </w:tabs>
    </w:pPr>
    <w:r/>
    <w:r>
      <w:tab/>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r>
      <w:tab/>
    </w:r>
  </w:p>
</w:ftr>
</file>

<file path=word/footer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er1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udocRunning"/>
      <w:tabs>
        <w:tab w:val="center" w:pos="4819"/>
        <w:tab w:val="right" w:pos="9638"/>
      </w:tabs>
    </w:pPr>
    <w:r/>
    <w:r>
      <w:tab/>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r>
      <w:tab/>
    </w:r>
  </w:p>
</w:ftr>
</file>

<file path=word/footer1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er1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udocRunning"/>
      <w:tabs>
        <w:tab w:val="center" w:pos="4819"/>
        <w:tab w:val="right" w:pos="9638"/>
      </w:tabs>
    </w:pPr>
    <w:r/>
    <w:r>
      <w:tab/>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r>
      <w:tab/>
    </w:r>
  </w:p>
</w:ftr>
</file>

<file path=word/footer1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er1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udocRunning"/>
      <w:tabs>
        <w:tab w:val="center" w:pos="4819"/>
        <w:tab w:val="right" w:pos="9638"/>
      </w:tabs>
    </w:pPr>
    <w:r/>
    <w:r>
      <w:tab/>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r>
      <w:tab/>
    </w:r>
  </w:p>
</w:ftr>
</file>

<file path=word/footer2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pPr>
        <w:pStyle w:val="CudocFootnote"/>
        <w:overflowPunct/>
        <w:autoSpaceDN/>
      </w:pPr>
      <w:r>
        <w:rPr>
          <w:rStyle w:val="FootnoteReference"/>
        </w:rPr>
        <w:footnoteRef/>
      </w:r>
      <w:r>
        <w:t xml:space="preserve">Always UTC, always with a </w:t>
      </w:r>
      <w:r>
        <w:rPr>
          <w:rStyle w:val="CudocCode"/>
        </w:rPr>
        <w:t xml:space="preserve">Z</w:t>
      </w:r>
      <w:r>
        <w:t xml:space="preserve"> suffix. Convert at the edge of your own system, not in the data layer.</w:t>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Style w:val="CudocRunning"/>
      <w:tabs>
        <w:tab w:val="center" w:pos="4819"/>
        <w:tab w:val="right" w:pos="9638"/>
      </w:tabs>
    </w:pPr>
    <w:r>
      <w:t xml:space="preserve">Northlight Weather API</w:t>
    </w:r>
    <w:r>
      <w:tab/>
    </w:r>
    <w:r>
      <w:tab/>
      <w:t xml:space="preserve">2026-09-22</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Style w:val="CudocRunning"/>
      <w:tabs>
        <w:tab w:val="center" w:pos="4819"/>
        <w:tab w:val="right" w:pos="9638"/>
      </w:tabs>
    </w:pPr>
    <w:r>
      <w:t xml:space="preserve">Northlight Weather API</w:t>
    </w:r>
    <w:r>
      <w:tab/>
    </w:r>
    <w:r>
      <w:tab/>
      <w:t xml:space="preserve">2026-09-22</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Style w:val="CudocRunning"/>
      <w:tabs>
        <w:tab w:val="center" w:pos="4819"/>
        <w:tab w:val="right" w:pos="9638"/>
      </w:tabs>
    </w:pPr>
    <w:r>
      <w:t xml:space="preserve">Northlight Weather API</w:t>
    </w:r>
    <w:r>
      <w:tab/>
    </w:r>
    <w:r>
      <w:tab/>
      <w:t xml:space="preserve">2026-09-22</w:t>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Style w:val="CudocRunning"/>
      <w:tabs>
        <w:tab w:val="center" w:pos="4819"/>
        <w:tab w:val="right" w:pos="9638"/>
      </w:tabs>
    </w:pPr>
    <w:r>
      <w:t xml:space="preserve">Northlight Weather API</w:t>
    </w:r>
    <w:r>
      <w:tab/>
    </w:r>
    <w:r>
      <w:tab/>
      <w:t xml:space="preserve">2026-09-22</w:t>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Style w:val="CudocRunning"/>
      <w:tabs>
        <w:tab w:val="center" w:pos="4819"/>
        <w:tab w:val="right" w:pos="9638"/>
      </w:tabs>
    </w:pPr>
    <w:r>
      <w:t xml:space="preserve">Northlight Weather API</w:t>
    </w:r>
    <w:r>
      <w:tab/>
    </w:r>
    <w:r>
      <w:tab/>
      <w:t xml:space="preserve">2026-09-22</w:t>
    </w: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Style w:val="CudocRunning"/>
      <w:tabs>
        <w:tab w:val="center" w:pos="4819"/>
        <w:tab w:val="right" w:pos="9638"/>
      </w:tabs>
    </w:pPr>
    <w:r>
      <w:t xml:space="preserve">Northlight Weather API</w:t>
    </w:r>
    <w:r>
      <w:tab/>
    </w:r>
    <w:r>
      <w:tab/>
      <w:t xml:space="preserve">2026-09-22</w:t>
    </w: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file>

<file path=word/header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Style w:val="CudocRunning"/>
      <w:tabs>
        <w:tab w:val="center" w:pos="7285"/>
        <w:tab w:val="right" w:pos="14570"/>
      </w:tabs>
    </w:pPr>
    <w:r>
      <w:t xml:space="preserve">Northlight Weather API</w:t>
    </w:r>
    <w:r>
      <w:tab/>
    </w:r>
    <w:r>
      <w:tab/>
      <w:t xml:space="preserve">2026-09-22</w:t>
    </w:r>
  </w:p>
</w:hdr>
</file>

<file path=word/header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file>

<file path=word/header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Style w:val="CudocRunning"/>
      <w:tabs>
        <w:tab w:val="center" w:pos="4819"/>
        <w:tab w:val="right" w:pos="9638"/>
      </w:tabs>
    </w:pPr>
    <w:r>
      <w:t xml:space="preserve">Northlight Weather API</w:t>
    </w:r>
    <w:r>
      <w:tab/>
    </w:r>
    <w:r>
      <w:tab/>
      <w:t xml:space="preserve">2026-09-22</w:t>
    </w:r>
  </w:p>
</w:hdr>
</file>

<file path=word/header1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file>

<file path=word/header1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Style w:val="CudocRunning"/>
      <w:tabs>
        <w:tab w:val="center" w:pos="4819"/>
        <w:tab w:val="right" w:pos="9638"/>
      </w:tabs>
    </w:pPr>
    <w:r>
      <w:t xml:space="preserve">Northlight Weather API</w:t>
    </w:r>
    <w:r>
      <w:tab/>
    </w:r>
    <w:r>
      <w:tab/>
      <w:t xml:space="preserve">2026-09-22</w:t>
    </w:r>
  </w:p>
</w:hdr>
</file>

<file path=word/header1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file>

<file path=word/header1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Style w:val="CudocRunning"/>
      <w:tabs>
        <w:tab w:val="center" w:pos="4819"/>
        <w:tab w:val="right" w:pos="9638"/>
      </w:tabs>
    </w:pPr>
    <w:r>
      <w:t xml:space="preserve">Northlight Weather API</w:t>
    </w:r>
    <w:r>
      <w:tab/>
    </w:r>
    <w:r>
      <w:tab/>
      <w:t xml:space="preserve">2026-09-22</w:t>
    </w:r>
  </w:p>
</w:hdr>
</file>

<file path=word/header2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15" w:hanging="189"/>
      </w:pPr>
      <w:rPr>
        <w:color w:val="5B6B7F"/>
      </w:rPr>
    </w:lvl>
    <w:lvl w:ilvl="1" w15:tentative="1">
      <w:start w:val="1"/>
      <w:numFmt w:val="bullet"/>
      <w:lvlText w:val="◦"/>
      <w:lvlJc w:val="left"/>
      <w:pPr>
        <w:ind w:left="630" w:hanging="189"/>
      </w:pPr>
      <w:rPr>
        <w:color w:val="5B6B7F"/>
      </w:rPr>
    </w:lvl>
    <w:lvl w:ilvl="2" w15:tentative="1">
      <w:start w:val="1"/>
      <w:numFmt w:val="bullet"/>
      <w:lvlText w:val="•"/>
      <w:lvlJc w:val="left"/>
      <w:pPr>
        <w:ind w:left="945" w:hanging="189"/>
      </w:pPr>
      <w:rPr>
        <w:color w:val="5B6B7F"/>
      </w:rPr>
    </w:lvl>
    <w:lvl w:ilvl="3" w15:tentative="1">
      <w:start w:val="1"/>
      <w:numFmt w:val="bullet"/>
      <w:lvlText w:val="◦"/>
      <w:lvlJc w:val="left"/>
      <w:pPr>
        <w:ind w:left="1260" w:hanging="189"/>
      </w:pPr>
      <w:rPr>
        <w:color w:val="5B6B7F"/>
      </w:rPr>
    </w:lvl>
    <w:lvl w:ilvl="4" w15:tentative="1">
      <w:start w:val="1"/>
      <w:numFmt w:val="bullet"/>
      <w:lvlText w:val="•"/>
      <w:lvlJc w:val="left"/>
      <w:pPr>
        <w:ind w:left="1575" w:hanging="189"/>
      </w:pPr>
      <w:rPr>
        <w:color w:val="5B6B7F"/>
      </w:rPr>
    </w:lvl>
    <w:lvl w:ilvl="5" w15:tentative="1">
      <w:start w:val="1"/>
      <w:numFmt w:val="bullet"/>
      <w:lvlText w:val="◦"/>
      <w:lvlJc w:val="left"/>
      <w:pPr>
        <w:ind w:left="1890" w:hanging="189"/>
      </w:pPr>
      <w:rPr>
        <w:color w:val="5B6B7F"/>
      </w:rPr>
    </w:lvl>
    <w:lvl w:ilvl="6" w15:tentative="1">
      <w:start w:val="1"/>
      <w:numFmt w:val="bullet"/>
      <w:lvlText w:val="•"/>
      <w:lvlJc w:val="left"/>
      <w:pPr>
        <w:ind w:left="2205" w:hanging="189"/>
      </w:pPr>
      <w:rPr>
        <w:color w:val="5B6B7F"/>
      </w:rPr>
    </w:lvl>
    <w:lvl w:ilvl="7" w15:tentative="1">
      <w:start w:val="1"/>
      <w:numFmt w:val="bullet"/>
      <w:lvlText w:val="◦"/>
      <w:lvlJc w:val="left"/>
      <w:pPr>
        <w:ind w:left="2520" w:hanging="189"/>
      </w:pPr>
      <w:rPr>
        <w:color w:val="5B6B7F"/>
      </w:rPr>
    </w:lvl>
    <w:lvl w:ilvl="8" w15:tentative="1">
      <w:start w:val="1"/>
      <w:numFmt w:val="bullet"/>
      <w:lvlText w:val="•"/>
      <w:lvlJc w:val="left"/>
      <w:pPr>
        <w:ind w:left="2835" w:hanging="189"/>
      </w:pPr>
      <w:rPr>
        <w:color w:val="5B6B7F"/>
      </w:rPr>
    </w:lvl>
  </w:abstractNum>
  <w:abstractNum w:abstractNumId="3" w15:restartNumberingAfterBreak="0">
    <w:multiLevelType w:val="hybridMultilevel"/>
    <w:lvl w:ilvl="0" w15:tentative="1">
      <w:start w:val="1"/>
      <w:numFmt w:val="decimal"/>
      <w:lvlText w:val="%1."/>
      <w:lvlJc w:val="left"/>
      <w:pPr>
        <w:ind w:left="315" w:hanging="189"/>
      </w:pPr>
      <w:rPr>
        <w:color w:val="5B6B7F"/>
      </w:rPr>
    </w:lvl>
    <w:lvl w:ilvl="1" w15:tentative="1">
      <w:start w:val="1"/>
      <w:numFmt w:val="decimal"/>
      <w:lvlText w:val="%2."/>
      <w:lvlJc w:val="left"/>
      <w:pPr>
        <w:ind w:left="630" w:hanging="189"/>
      </w:pPr>
      <w:rPr>
        <w:color w:val="5B6B7F"/>
      </w:rPr>
    </w:lvl>
    <w:lvl w:ilvl="2" w15:tentative="1">
      <w:start w:val="1"/>
      <w:numFmt w:val="decimal"/>
      <w:lvlText w:val="%3."/>
      <w:lvlJc w:val="left"/>
      <w:pPr>
        <w:ind w:left="945" w:hanging="189"/>
      </w:pPr>
      <w:rPr>
        <w:color w:val="5B6B7F"/>
      </w:rPr>
    </w:lvl>
    <w:lvl w:ilvl="3" w15:tentative="1">
      <w:start w:val="1"/>
      <w:numFmt w:val="decimal"/>
      <w:lvlText w:val="%4."/>
      <w:lvlJc w:val="left"/>
      <w:pPr>
        <w:ind w:left="1260" w:hanging="189"/>
      </w:pPr>
      <w:rPr>
        <w:color w:val="5B6B7F"/>
      </w:rPr>
    </w:lvl>
    <w:lvl w:ilvl="4" w15:tentative="1">
      <w:start w:val="1"/>
      <w:numFmt w:val="decimal"/>
      <w:lvlText w:val="%5."/>
      <w:lvlJc w:val="left"/>
      <w:pPr>
        <w:ind w:left="1575" w:hanging="189"/>
      </w:pPr>
      <w:rPr>
        <w:color w:val="5B6B7F"/>
      </w:rPr>
    </w:lvl>
    <w:lvl w:ilvl="5" w15:tentative="1">
      <w:start w:val="1"/>
      <w:numFmt w:val="decimal"/>
      <w:lvlText w:val="%6."/>
      <w:lvlJc w:val="left"/>
      <w:pPr>
        <w:ind w:left="1890" w:hanging="189"/>
      </w:pPr>
      <w:rPr>
        <w:color w:val="5B6B7F"/>
      </w:rPr>
    </w:lvl>
    <w:lvl w:ilvl="6" w15:tentative="1">
      <w:start w:val="1"/>
      <w:numFmt w:val="decimal"/>
      <w:lvlText w:val="%7."/>
      <w:lvlJc w:val="left"/>
      <w:pPr>
        <w:ind w:left="2205" w:hanging="189"/>
      </w:pPr>
      <w:rPr>
        <w:color w:val="5B6B7F"/>
      </w:rPr>
    </w:lvl>
    <w:lvl w:ilvl="7" w15:tentative="1">
      <w:start w:val="1"/>
      <w:numFmt w:val="decimal"/>
      <w:lvlText w:val="%8."/>
      <w:lvlJc w:val="left"/>
      <w:pPr>
        <w:ind w:left="2520" w:hanging="189"/>
      </w:pPr>
      <w:rPr>
        <w:color w:val="5B6B7F"/>
      </w:rPr>
    </w:lvl>
    <w:lvl w:ilvl="8" w15:tentative="1">
      <w:start w:val="1"/>
      <w:numFmt w:val="decimal"/>
      <w:lvlText w:val="%9."/>
      <w:lvlJc w:val="left"/>
      <w:pPr>
        <w:ind w:left="2835" w:hanging="189"/>
      </w:pPr>
      <w:rPr>
        <w:color w:val="5B6B7F"/>
      </w:rPr>
    </w:lvl>
  </w:abstractNum>
  <w:abstractNum w:abstractNumId="4" w15:restartNumberingAfterBreak="0">
    <w:multiLevelType w:val="hybridMultilevel"/>
    <w:lvl w:ilvl="0" w15:tentative="1">
      <w:start w:val="1"/>
      <w:numFmt w:val="bullet"/>
      <w:lvlText w:val="•"/>
      <w:lvlJc w:val="left"/>
      <w:pPr>
        <w:ind w:left="210" w:hanging="126"/>
      </w:pPr>
      <w:rPr>
        <w:color w:val="5B6B7F"/>
      </w:rPr>
    </w:lvl>
    <w:lvl w:ilvl="1" w15:tentative="1">
      <w:start w:val="1"/>
      <w:numFmt w:val="bullet"/>
      <w:lvlText w:val="◦"/>
      <w:lvlJc w:val="left"/>
      <w:pPr>
        <w:ind w:left="420" w:hanging="126"/>
      </w:pPr>
      <w:rPr>
        <w:color w:val="5B6B7F"/>
      </w:rPr>
    </w:lvl>
    <w:lvl w:ilvl="2" w15:tentative="1">
      <w:start w:val="1"/>
      <w:numFmt w:val="bullet"/>
      <w:lvlText w:val="•"/>
      <w:lvlJc w:val="left"/>
      <w:pPr>
        <w:ind w:left="630" w:hanging="126"/>
      </w:pPr>
      <w:rPr>
        <w:color w:val="5B6B7F"/>
      </w:rPr>
    </w:lvl>
    <w:lvl w:ilvl="3" w15:tentative="1">
      <w:start w:val="1"/>
      <w:numFmt w:val="bullet"/>
      <w:lvlText w:val="◦"/>
      <w:lvlJc w:val="left"/>
      <w:pPr>
        <w:ind w:left="840" w:hanging="126"/>
      </w:pPr>
      <w:rPr>
        <w:color w:val="5B6B7F"/>
      </w:rPr>
    </w:lvl>
    <w:lvl w:ilvl="4" w15:tentative="1">
      <w:start w:val="1"/>
      <w:numFmt w:val="bullet"/>
      <w:lvlText w:val="•"/>
      <w:lvlJc w:val="left"/>
      <w:pPr>
        <w:ind w:left="1050" w:hanging="126"/>
      </w:pPr>
      <w:rPr>
        <w:color w:val="5B6B7F"/>
      </w:rPr>
    </w:lvl>
    <w:lvl w:ilvl="5" w15:tentative="1">
      <w:start w:val="1"/>
      <w:numFmt w:val="bullet"/>
      <w:lvlText w:val="◦"/>
      <w:lvlJc w:val="left"/>
      <w:pPr>
        <w:ind w:left="1260" w:hanging="126"/>
      </w:pPr>
      <w:rPr>
        <w:color w:val="5B6B7F"/>
      </w:rPr>
    </w:lvl>
    <w:lvl w:ilvl="6" w15:tentative="1">
      <w:start w:val="1"/>
      <w:numFmt w:val="bullet"/>
      <w:lvlText w:val="•"/>
      <w:lvlJc w:val="left"/>
      <w:pPr>
        <w:ind w:left="1470" w:hanging="126"/>
      </w:pPr>
      <w:rPr>
        <w:color w:val="5B6B7F"/>
      </w:rPr>
    </w:lvl>
    <w:lvl w:ilvl="7" w15:tentative="1">
      <w:start w:val="1"/>
      <w:numFmt w:val="bullet"/>
      <w:lvlText w:val="◦"/>
      <w:lvlJc w:val="left"/>
      <w:pPr>
        <w:ind w:left="1680" w:hanging="126"/>
      </w:pPr>
      <w:rPr>
        <w:color w:val="5B6B7F"/>
      </w:rPr>
    </w:lvl>
    <w:lvl w:ilvl="8" w15:tentative="1">
      <w:start w:val="1"/>
      <w:numFmt w:val="bullet"/>
      <w:lvlText w:val="•"/>
      <w:lvlJc w:val="left"/>
      <w:pPr>
        <w:ind w:left="1890" w:hanging="126"/>
      </w:pPr>
      <w:rPr>
        <w:color w:val="5B6B7F"/>
      </w:rPr>
    </w:lvl>
  </w:abstractNum>
  <w:abstractNum w:abstractNumId="5" w15:restartNumberingAfterBreak="0">
    <w:multiLevelType w:val="hybridMultilevel"/>
    <w:lvl w:ilvl="0" w15:tentative="1">
      <w:start w:val="1"/>
      <w:numFmt w:val="decimal"/>
      <w:lvlText w:val="%1."/>
      <w:lvlJc w:val="left"/>
      <w:pPr>
        <w:ind w:left="210" w:hanging="126"/>
      </w:pPr>
      <w:rPr>
        <w:color w:val="5B6B7F"/>
      </w:rPr>
    </w:lvl>
    <w:lvl w:ilvl="1" w15:tentative="1">
      <w:start w:val="1"/>
      <w:numFmt w:val="decimal"/>
      <w:lvlText w:val="%2."/>
      <w:lvlJc w:val="left"/>
      <w:pPr>
        <w:ind w:left="420" w:hanging="126"/>
      </w:pPr>
      <w:rPr>
        <w:color w:val="5B6B7F"/>
      </w:rPr>
    </w:lvl>
    <w:lvl w:ilvl="2" w15:tentative="1">
      <w:start w:val="1"/>
      <w:numFmt w:val="decimal"/>
      <w:lvlText w:val="%3."/>
      <w:lvlJc w:val="left"/>
      <w:pPr>
        <w:ind w:left="630" w:hanging="126"/>
      </w:pPr>
      <w:rPr>
        <w:color w:val="5B6B7F"/>
      </w:rPr>
    </w:lvl>
    <w:lvl w:ilvl="3" w15:tentative="1">
      <w:start w:val="1"/>
      <w:numFmt w:val="decimal"/>
      <w:lvlText w:val="%4."/>
      <w:lvlJc w:val="left"/>
      <w:pPr>
        <w:ind w:left="840" w:hanging="126"/>
      </w:pPr>
      <w:rPr>
        <w:color w:val="5B6B7F"/>
      </w:rPr>
    </w:lvl>
    <w:lvl w:ilvl="4" w15:tentative="1">
      <w:start w:val="1"/>
      <w:numFmt w:val="decimal"/>
      <w:lvlText w:val="%5."/>
      <w:lvlJc w:val="left"/>
      <w:pPr>
        <w:ind w:left="1050" w:hanging="126"/>
      </w:pPr>
      <w:rPr>
        <w:color w:val="5B6B7F"/>
      </w:rPr>
    </w:lvl>
    <w:lvl w:ilvl="5" w15:tentative="1">
      <w:start w:val="1"/>
      <w:numFmt w:val="decimal"/>
      <w:lvlText w:val="%6."/>
      <w:lvlJc w:val="left"/>
      <w:pPr>
        <w:ind w:left="1260" w:hanging="126"/>
      </w:pPr>
      <w:rPr>
        <w:color w:val="5B6B7F"/>
      </w:rPr>
    </w:lvl>
    <w:lvl w:ilvl="6" w15:tentative="1">
      <w:start w:val="1"/>
      <w:numFmt w:val="decimal"/>
      <w:lvlText w:val="%7."/>
      <w:lvlJc w:val="left"/>
      <w:pPr>
        <w:ind w:left="1470" w:hanging="126"/>
      </w:pPr>
      <w:rPr>
        <w:color w:val="5B6B7F"/>
      </w:rPr>
    </w:lvl>
    <w:lvl w:ilvl="7" w15:tentative="1">
      <w:start w:val="1"/>
      <w:numFmt w:val="decimal"/>
      <w:lvlText w:val="%8."/>
      <w:lvlJc w:val="left"/>
      <w:pPr>
        <w:ind w:left="1680" w:hanging="126"/>
      </w:pPr>
      <w:rPr>
        <w:color w:val="5B6B7F"/>
      </w:rPr>
    </w:lvl>
    <w:lvl w:ilvl="8" w15:tentative="1">
      <w:start w:val="1"/>
      <w:numFmt w:val="decimal"/>
      <w:lvlText w:val="%9."/>
      <w:lvlJc w:val="left"/>
      <w:pPr>
        <w:ind w:left="1890" w:hanging="126"/>
      </w:pPr>
      <w:rPr>
        <w:color w:val="5B6B7F"/>
      </w:r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4"/>
    <w:lvlOverride w:ilvl="0">
      <w:startOverride w:val="1"/>
    </w:lvlOverride>
  </w:num>
  <w:num w:numId="5">
    <w:abstractNumId w:val="4"/>
    <w:lvlOverride w:ilvl="0">
      <w:startOverride w:val="1"/>
    </w:lvlOverride>
  </w:num>
  <w:num w:numId="6">
    <w:abstractNumId w:val="4"/>
    <w:lvlOverride w:ilvl="0">
      <w:startOverride w:val="1"/>
    </w:lvlOverride>
  </w:num>
  <w:num w:numId="7">
    <w:abstractNumId w:val="2"/>
    <w:lvlOverride w:ilvl="0">
      <w:startOverride w:val="1"/>
    </w:lvlOverride>
  </w:num>
  <w:num w:numId="8">
    <w:abstractNumId w:val="2"/>
    <w:lvlOverride w:ilvl="0">
      <w:startOverride w:val="1"/>
    </w:lvlOverride>
  </w:num>
  <w:num w:numId="9">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Malgun Gothic" w:hAnsi="Calibri"/>
        <w:color w:val="1E293B"/>
        <w:sz w:val="20"/>
        <w:szCs w:val="20"/>
      </w:rPr>
    </w:rPrDefault>
    <w:pPrDefault>
      <w:pPr>
        <w:spacing w:after="210" w:line="34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keepNext/>
      <w:spacing w:after="158" w:before="420" w:line="260"/>
    </w:pPr>
    <w:rPr>
      <w:rFonts w:ascii="Calibri" w:cs="Calibri" w:eastAsia="Malgun Gothic" w:hAnsi="Calibri"/>
      <w:b/>
      <w:bCs/>
      <w:color w:val="1E293B"/>
      <w:sz w:val="42"/>
      <w:szCs w:val="42"/>
    </w:rPr>
  </w:style>
  <w:style w:type="paragraph" w:styleId="Heading2">
    <w:name w:val="Heading 2"/>
    <w:basedOn w:val="Normal"/>
    <w:next w:val="Normal"/>
    <w:qFormat/>
    <w:pPr>
      <w:keepNext/>
      <w:pBdr>
        <w:top w:val="single" w:color="E2E8F0" w:sz="8"/>
      </w:pBdr>
      <w:spacing w:after="158" w:before="315" w:line="260"/>
    </w:pPr>
    <w:rPr>
      <w:rFonts w:ascii="Calibri" w:cs="Calibri" w:eastAsia="Malgun Gothic" w:hAnsi="Calibri"/>
      <w:b/>
      <w:bCs/>
      <w:color w:val="1E293B"/>
      <w:sz w:val="32"/>
      <w:szCs w:val="32"/>
    </w:rPr>
  </w:style>
  <w:style w:type="paragraph" w:styleId="Heading3">
    <w:name w:val="Heading 3"/>
    <w:basedOn w:val="Normal"/>
    <w:next w:val="Normal"/>
    <w:qFormat/>
    <w:pPr>
      <w:keepNext/>
      <w:spacing w:after="158" w:before="315" w:line="260"/>
    </w:pPr>
    <w:rPr>
      <w:rFonts w:ascii="Calibri" w:cs="Calibri" w:eastAsia="Malgun Gothic" w:hAnsi="Calibri"/>
      <w:b/>
      <w:bCs/>
      <w:color w:val="1E293B"/>
      <w:sz w:val="25"/>
      <w:szCs w:val="25"/>
    </w:rPr>
  </w:style>
  <w:style w:type="paragraph" w:styleId="Heading4">
    <w:name w:val="Heading 4"/>
    <w:basedOn w:val="Normal"/>
    <w:next w:val="Normal"/>
    <w:qFormat/>
    <w:pPr>
      <w:keepNext/>
      <w:spacing w:after="158" w:before="315" w:line="260"/>
    </w:pPr>
    <w:rPr>
      <w:rFonts w:ascii="Calibri" w:cs="Calibri" w:eastAsia="Malgun Gothic" w:hAnsi="Calibri"/>
      <w:b/>
      <w:bCs/>
      <w:color w:val="475569"/>
      <w:sz w:val="22"/>
      <w:szCs w:val="22"/>
    </w:rPr>
  </w:style>
  <w:style w:type="paragraph" w:styleId="Heading5">
    <w:name w:val="Heading 5"/>
    <w:basedOn w:val="Normal"/>
    <w:next w:val="Normal"/>
    <w:qFormat/>
    <w:pPr>
      <w:keepNext/>
      <w:spacing w:after="158" w:before="315" w:line="260"/>
    </w:pPr>
    <w:rPr>
      <w:rFonts w:ascii="Calibri" w:cs="Calibri" w:eastAsia="Malgun Gothic" w:hAnsi="Calibri"/>
      <w:b/>
      <w:bCs/>
      <w:color w:val="475569"/>
      <w:sz w:val="20"/>
      <w:szCs w:val="20"/>
    </w:rPr>
  </w:style>
  <w:style w:type="paragraph" w:styleId="Heading6">
    <w:name w:val="Heading 6"/>
    <w:basedOn w:val="Normal"/>
    <w:next w:val="Normal"/>
    <w:qFormat/>
    <w:pPr>
      <w:keepNext/>
      <w:spacing w:after="158" w:before="315" w:line="260"/>
    </w:pPr>
    <w:rPr>
      <w:rFonts w:ascii="Calibri" w:cs="Calibri" w:eastAsia="Malgun Gothic" w:hAnsi="Calibri"/>
      <w:b/>
      <w:bCs/>
      <w:color w:val="475569"/>
      <w:sz w:val="20"/>
      <w:szCs w:val="20"/>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155E75"/>
      <w:u w:val="single"/>
    </w:rPr>
  </w:style>
  <w:style w:type="character" w:styleId="FootnoteReference">
    <w:name w:val="footnote reference"/>
    <w:basedOn w:val="DefaultParagraphFont"/>
    <w:uiPriority w:val="99"/>
    <w:semiHidden/>
    <w:unhideWhenUsed/>
    <w:rPr>
      <w:color w:val="155E75"/>
    </w:rPr>
  </w:style>
  <w:style w:type="paragraph" w:styleId="FootnoteText">
    <w:name w:val="footnote text"/>
    <w:basedOn w:val="Normal"/>
    <w:link w:val="FootnoteTextChar"/>
    <w:uiPriority w:val="99"/>
    <w:semiHidden/>
    <w:unhideWhenUsed/>
    <w:pPr>
      <w:spacing w:after="53" w:line="240"/>
    </w:pPr>
    <w:rPr>
      <w:rFonts w:ascii="Calibri" w:cs="Calibri" w:eastAsia="Malgun Gothic" w:hAnsi="Calibri"/>
      <w:color w:val="475569"/>
      <w:sz w:val="18"/>
      <w:szCs w:val="18"/>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CudocBody">
    <w:name w:val="cudoc Body"/>
    <w:basedOn w:val="Normal"/>
    <w:next w:val="CudocBody"/>
    <w:qFormat/>
    <w:pPr>
      <w:spacing w:after="210" w:line="340"/>
    </w:pPr>
    <w:rPr>
      <w:rFonts w:ascii="Calibri" w:cs="Calibri" w:eastAsia="Malgun Gothic" w:hAnsi="Calibri"/>
      <w:color w:val="1E293B"/>
      <w:sz w:val="20"/>
      <w:szCs w:val="20"/>
    </w:rPr>
  </w:style>
  <w:style w:type="paragraph" w:styleId="CudocQuote">
    <w:name w:val="cudoc Quote"/>
    <w:basedOn w:val="CudocBody"/>
    <w:next w:val="CudocBody"/>
    <w:pPr>
      <w:pBdr>
        <w:left w:val="single" w:color="E2E8F0" w:sz="12"/>
      </w:pBdr>
      <w:ind w:left="210"/>
    </w:pPr>
    <w:rPr>
      <w:color w:val="475569"/>
    </w:rPr>
  </w:style>
  <w:style w:type="paragraph" w:styleId="CudocListItem">
    <w:name w:val="cudoc List Item"/>
    <w:basedOn w:val="CudocBody"/>
    <w:next w:val="CudocListItem"/>
    <w:pPr>
      <w:spacing w:after="53"/>
    </w:pPr>
  </w:style>
  <w:style w:type="paragraph" w:styleId="CudocSpacer">
    <w:name w:val="cudoc Spacer"/>
    <w:basedOn w:val="Normal"/>
    <w:next w:val="CudocBody"/>
    <w:pPr>
      <w:spacing w:after="0" w:before="0" w:line="240"/>
    </w:pPr>
    <w:rPr>
      <w:sz w:val="2"/>
      <w:szCs w:val="2"/>
    </w:rPr>
  </w:style>
  <w:style w:type="paragraph" w:styleId="CudocCodeBlock">
    <w:name w:val="cudoc Code Block"/>
    <w:basedOn w:val="Normal"/>
    <w:next w:val="CudocBody"/>
    <w:pPr>
      <w:keepLines/>
      <w:pBdr>
        <w:top w:val="single" w:color="F1F5F9" w:sz="4" w:space="5"/>
        <w:bottom w:val="single" w:color="F1F5F9" w:sz="4" w:space="5"/>
        <w:left w:val="single" w:color="F1F5F9" w:sz="4" w:space="5"/>
        <w:right w:val="single" w:color="F1F5F9" w:sz="4" w:space="5"/>
      </w:pBdr>
      <w:shd w:fill="F1F5F9" w:val="clear"/>
      <w:spacing w:after="0" w:before="0" w:line="320"/>
    </w:pPr>
    <w:rPr>
      <w:rFonts w:ascii="Consolas" w:cs="Consolas" w:eastAsia="Malgun Gothic" w:hAnsi="Consolas"/>
      <w:color w:val="1E293B"/>
      <w:sz w:val="18"/>
      <w:szCs w:val="18"/>
    </w:rPr>
  </w:style>
  <w:style w:type="paragraph" w:styleId="CudocTableHeader">
    <w:name w:val="cudoc Table Header"/>
    <w:basedOn w:val="Normal"/>
    <w:next w:val="CudocTableCell"/>
    <w:pPr>
      <w:keepNext/>
      <w:spacing w:after="0" w:before="0" w:line="240"/>
    </w:pPr>
    <w:rPr>
      <w:rFonts w:ascii="Calibri" w:cs="Calibri" w:eastAsia="Malgun Gothic" w:hAnsi="Calibri"/>
      <w:b/>
      <w:bCs/>
      <w:color w:val="475569"/>
      <w:sz w:val="18"/>
      <w:szCs w:val="18"/>
    </w:rPr>
  </w:style>
  <w:style w:type="paragraph" w:styleId="CudocTableCell">
    <w:name w:val="cudoc Table Cell"/>
    <w:basedOn w:val="Normal"/>
    <w:next w:val="CudocTableCell"/>
    <w:pPr>
      <w:spacing w:after="0" w:before="0" w:line="300"/>
    </w:pPr>
    <w:rPr>
      <w:rFonts w:ascii="Calibri" w:cs="Calibri" w:eastAsia="Malgun Gothic" w:hAnsi="Calibri"/>
      <w:color w:val="1E293B"/>
      <w:sz w:val="18"/>
      <w:szCs w:val="18"/>
    </w:rPr>
  </w:style>
  <w:style w:type="paragraph" w:styleId="CudocCaption">
    <w:name w:val="cudoc Caption"/>
    <w:basedOn w:val="Normal"/>
    <w:next w:val="CudocBody"/>
    <w:pPr>
      <w:spacing w:after="210"/>
    </w:pPr>
    <w:rPr>
      <w:rFonts w:ascii="Calibri" w:cs="Calibri" w:eastAsia="Malgun Gothic" w:hAnsi="Calibri"/>
      <w:i/>
      <w:iCs/>
      <w:color w:val="5B6B7F"/>
      <w:sz w:val="17"/>
      <w:szCs w:val="17"/>
    </w:rPr>
  </w:style>
  <w:style w:type="paragraph" w:styleId="CudocRule">
    <w:name w:val="cudoc Rule"/>
    <w:basedOn w:val="Normal"/>
    <w:next w:val="CudocBody"/>
    <w:pPr>
      <w:pBdr>
        <w:bottom w:val="single" w:color="E2E8F0" w:sz="8"/>
      </w:pBdr>
      <w:spacing w:after="210" w:before="210"/>
    </w:pPr>
    <w:rPr>
      <w:sz w:val="2"/>
      <w:szCs w:val="2"/>
    </w:rPr>
  </w:style>
  <w:style w:type="paragraph" w:styleId="CudocDetailsSummary">
    <w:name w:val="cudoc Details Summary"/>
    <w:basedOn w:val="CudocBody"/>
    <w:next w:val="CudocDetailsBody"/>
    <w:pPr>
      <w:keepNext/>
      <w:spacing w:after="105"/>
    </w:pPr>
    <w:rPr>
      <w:b/>
      <w:bCs/>
    </w:rPr>
  </w:style>
  <w:style w:type="paragraph" w:styleId="CudocDetailsBody">
    <w:name w:val="cudoc Details Body"/>
    <w:basedOn w:val="CudocBody"/>
    <w:next w:val="CudocDetailsBody"/>
    <w:pPr>
      <w:shd w:fill="F1F5F9" w:val="clear"/>
      <w:ind w:left="210"/>
    </w:pPr>
  </w:style>
  <w:style w:type="paragraph" w:styleId="CudocRunning">
    <w:name w:val="cudoc Running"/>
    <w:basedOn w:val="Normal"/>
    <w:next w:val="CudocRunning"/>
    <w:pPr>
      <w:spacing w:after="0" w:before="0" w:line="240"/>
    </w:pPr>
    <w:rPr>
      <w:rFonts w:ascii="Calibri" w:cs="Calibri" w:eastAsia="Malgun Gothic" w:hAnsi="Calibri"/>
      <w:color w:val="5B6B7F"/>
      <w:sz w:val="17"/>
      <w:szCs w:val="17"/>
    </w:rPr>
  </w:style>
  <w:style w:type="paragraph" w:styleId="CudocCoverTitle">
    <w:name w:val="cudoc Cover Title"/>
    <w:basedOn w:val="Normal"/>
    <w:next w:val="CudocBody"/>
    <w:pPr>
      <w:spacing w:after="0" w:before="10409" w:line="260"/>
    </w:pPr>
    <w:rPr>
      <w:rFonts w:ascii="Calibri" w:cs="Calibri" w:eastAsia="Malgun Gothic" w:hAnsi="Calibri"/>
      <w:b/>
      <w:bCs/>
      <w:color w:val="1E293B"/>
      <w:sz w:val="53"/>
      <w:szCs w:val="53"/>
    </w:rPr>
  </w:style>
  <w:style w:type="paragraph" w:styleId="CudocCoverTitlePanel">
    <w:name w:val="cudoc Cover Title on Image"/>
    <w:basedOn w:val="CudocCoverTitle"/>
    <w:next w:val="CudocBody"/>
    <w:pPr>
      <w:pBdr>
        <w:top w:val="none" w:color="auto" w:sz="0" w:space="8"/>
        <w:bottom w:val="none" w:color="auto" w:sz="0" w:space="8"/>
      </w:pBdr>
      <w:shd w:fill="FFFFFF" w:val="clear"/>
      <w:ind w:left="315" w:right="315"/>
    </w:pPr>
  </w:style>
  <w:style w:type="paragraph" w:styleId="CudocContentsTitle">
    <w:name w:val="cudoc Contents Title"/>
    <w:basedOn w:val="Normal"/>
    <w:next w:val="TOC1"/>
    <w:pPr>
      <w:keepNext/>
      <w:spacing w:after="210" w:before="315" w:line="260"/>
    </w:pPr>
    <w:rPr>
      <w:rFonts w:ascii="Calibri" w:cs="Calibri" w:eastAsia="Malgun Gothic" w:hAnsi="Calibri"/>
      <w:b/>
      <w:bCs/>
      <w:color w:val="1E293B"/>
      <w:sz w:val="32"/>
      <w:szCs w:val="32"/>
    </w:rPr>
  </w:style>
  <w:style w:type="paragraph" w:styleId="TOC1">
    <w:name w:val="toc 1"/>
    <w:basedOn w:val="CudocBody"/>
    <w:next w:val="TOC1"/>
    <w:pPr>
      <w:spacing w:after="53" w:before="53"/>
    </w:pPr>
  </w:style>
  <w:style w:type="paragraph" w:styleId="CudocFootnote">
    <w:name w:val="cudoc Footnote"/>
    <w:basedOn w:val="Normal"/>
    <w:next w:val="CudocFootnote"/>
    <w:pPr>
      <w:spacing w:after="53" w:line="240"/>
    </w:pPr>
    <w:rPr>
      <w:rFonts w:ascii="Calibri" w:cs="Calibri" w:eastAsia="Malgun Gothic" w:hAnsi="Calibri"/>
      <w:color w:val="475569"/>
      <w:sz w:val="18"/>
      <w:szCs w:val="18"/>
    </w:rPr>
  </w:style>
  <w:style w:type="paragraph" w:styleId="CudocCalloutNote">
    <w:name w:val="cudoc Callout — Note"/>
    <w:basedOn w:val="CudocBody"/>
    <w:next w:val="CudocCalloutNote"/>
    <w:pPr>
      <w:pBdr>
        <w:top w:val="single" w:color="EEF2F7" w:sz="4" w:space="5"/>
        <w:bottom w:val="single" w:color="EEF2F7" w:sz="4" w:space="5"/>
        <w:left w:val="single" w:color="155E75" w:sz="18" w:space="5"/>
        <w:right w:val="single" w:color="EEF2F7" w:sz="4" w:space="5"/>
      </w:pBdr>
      <w:shd w:fill="F1F5F9" w:val="clear"/>
      <w:spacing w:after="53" w:before="53"/>
      <w:ind w:left="210" w:right="210"/>
    </w:pPr>
  </w:style>
  <w:style w:type="paragraph" w:styleId="CudocCalloutNoteTitle">
    <w:name w:val="cudoc Callout — Note Title"/>
    <w:basedOn w:val="CudocCalloutNote"/>
    <w:next w:val="CudocCalloutNote"/>
    <w:pPr>
      <w:keepNext/>
      <w:spacing w:after="0"/>
    </w:pPr>
    <w:rPr>
      <w:b/>
      <w:bCs/>
      <w:color w:val="155E75"/>
    </w:rPr>
  </w:style>
  <w:style w:type="paragraph" w:styleId="CudocCalloutTip">
    <w:name w:val="cudoc Callout — Tip"/>
    <w:basedOn w:val="CudocBody"/>
    <w:next w:val="CudocCalloutTip"/>
    <w:pPr>
      <w:pBdr>
        <w:top w:val="single" w:color="EEF2F7" w:sz="4" w:space="5"/>
        <w:bottom w:val="single" w:color="EEF2F7" w:sz="4" w:space="5"/>
        <w:left w:val="single" w:color="155E75" w:sz="18" w:space="5"/>
        <w:right w:val="single" w:color="EEF2F7" w:sz="4" w:space="5"/>
      </w:pBdr>
      <w:shd w:fill="F1F5F9" w:val="clear"/>
      <w:spacing w:after="53" w:before="53"/>
      <w:ind w:left="210" w:right="210"/>
    </w:pPr>
  </w:style>
  <w:style w:type="paragraph" w:styleId="CudocCalloutTipTitle">
    <w:name w:val="cudoc Callout — Tip Title"/>
    <w:basedOn w:val="CudocCalloutTip"/>
    <w:next w:val="CudocCalloutTip"/>
    <w:pPr>
      <w:keepNext/>
      <w:spacing w:after="0"/>
    </w:pPr>
    <w:rPr>
      <w:b/>
      <w:bCs/>
      <w:color w:val="155E75"/>
    </w:rPr>
  </w:style>
  <w:style w:type="paragraph" w:styleId="CudocCalloutImportant">
    <w:name w:val="cudoc Callout — Important"/>
    <w:basedOn w:val="CudocBody"/>
    <w:next w:val="CudocCalloutImportant"/>
    <w:pPr>
      <w:pBdr>
        <w:top w:val="single" w:color="EEF2F7" w:sz="4" w:space="5"/>
        <w:bottom w:val="single" w:color="EEF2F7" w:sz="4" w:space="5"/>
        <w:left w:val="single" w:color="155E75" w:sz="18" w:space="5"/>
        <w:right w:val="single" w:color="EEF2F7" w:sz="4" w:space="5"/>
      </w:pBdr>
      <w:shd w:fill="F1F5F9" w:val="clear"/>
      <w:spacing w:after="53" w:before="53"/>
      <w:ind w:left="210" w:right="210"/>
    </w:pPr>
  </w:style>
  <w:style w:type="paragraph" w:styleId="CudocCalloutImportantTitle">
    <w:name w:val="cudoc Callout — Important Title"/>
    <w:basedOn w:val="CudocCalloutImportant"/>
    <w:next w:val="CudocCalloutImportant"/>
    <w:pPr>
      <w:keepNext/>
      <w:spacing w:after="0"/>
    </w:pPr>
    <w:rPr>
      <w:b/>
      <w:bCs/>
      <w:color w:val="155E75"/>
    </w:rPr>
  </w:style>
  <w:style w:type="paragraph" w:styleId="CudocCalloutWarning">
    <w:name w:val="cudoc Callout — Warning"/>
    <w:basedOn w:val="CudocBody"/>
    <w:next w:val="CudocCalloutWarning"/>
    <w:pPr>
      <w:pBdr>
        <w:top w:val="single" w:color="EEF2F7" w:sz="4" w:space="5"/>
        <w:bottom w:val="single" w:color="EEF2F7" w:sz="4" w:space="5"/>
        <w:left w:val="single" w:color="B45309" w:sz="18" w:space="5"/>
        <w:right w:val="single" w:color="EEF2F7" w:sz="4" w:space="5"/>
      </w:pBdr>
      <w:shd w:fill="FEF6E7" w:val="clear"/>
      <w:spacing w:after="53" w:before="53"/>
      <w:ind w:left="210" w:right="210"/>
    </w:pPr>
  </w:style>
  <w:style w:type="paragraph" w:styleId="CudocCalloutWarningTitle">
    <w:name w:val="cudoc Callout — Warning Title"/>
    <w:basedOn w:val="CudocCalloutWarning"/>
    <w:next w:val="CudocCalloutWarning"/>
    <w:pPr>
      <w:keepNext/>
      <w:spacing w:after="0"/>
    </w:pPr>
    <w:rPr>
      <w:b/>
      <w:bCs/>
      <w:color w:val="B45309"/>
    </w:rPr>
  </w:style>
  <w:style w:type="paragraph" w:styleId="CudocCalloutCaution">
    <w:name w:val="cudoc Callout — Caution"/>
    <w:basedOn w:val="CudocBody"/>
    <w:next w:val="CudocCalloutCaution"/>
    <w:pPr>
      <w:pBdr>
        <w:top w:val="single" w:color="EEF2F7" w:sz="4" w:space="5"/>
        <w:bottom w:val="single" w:color="EEF2F7" w:sz="4" w:space="5"/>
        <w:left w:val="single" w:color="B91C1C" w:sz="18" w:space="5"/>
        <w:right w:val="single" w:color="EEF2F7" w:sz="4" w:space="5"/>
      </w:pBdr>
      <w:shd w:fill="FDEEEE" w:val="clear"/>
      <w:spacing w:after="53" w:before="53"/>
      <w:ind w:left="210" w:right="210"/>
    </w:pPr>
  </w:style>
  <w:style w:type="paragraph" w:styleId="CudocCalloutCautionTitle">
    <w:name w:val="cudoc Callout — Caution Title"/>
    <w:basedOn w:val="CudocCalloutCaution"/>
    <w:next w:val="CudocCalloutCaution"/>
    <w:pPr>
      <w:keepNext/>
      <w:spacing w:after="0"/>
    </w:pPr>
    <w:rPr>
      <w:b/>
      <w:bCs/>
      <w:color w:val="B91C1C"/>
    </w:rPr>
  </w:style>
  <w:style w:type="paragraph" w:styleId="CudocCalloutSuccess">
    <w:name w:val="cudoc Callout — Success"/>
    <w:basedOn w:val="CudocBody"/>
    <w:next w:val="CudocCalloutSuccess"/>
    <w:pPr>
      <w:pBdr>
        <w:top w:val="single" w:color="EEF2F7" w:sz="4" w:space="5"/>
        <w:bottom w:val="single" w:color="EEF2F7" w:sz="4" w:space="5"/>
        <w:left w:val="single" w:color="155E75" w:sz="18" w:space="5"/>
        <w:right w:val="single" w:color="EEF2F7" w:sz="4" w:space="5"/>
      </w:pBdr>
      <w:shd w:fill="F1F5F9" w:val="clear"/>
      <w:spacing w:after="53" w:before="53"/>
      <w:ind w:left="210" w:right="210"/>
    </w:pPr>
  </w:style>
  <w:style w:type="paragraph" w:styleId="CudocCalloutSuccessTitle">
    <w:name w:val="cudoc Callout — Success Title"/>
    <w:basedOn w:val="CudocCalloutSuccess"/>
    <w:next w:val="CudocCalloutSuccess"/>
    <w:pPr>
      <w:keepNext/>
      <w:spacing w:after="0"/>
    </w:pPr>
    <w:rPr>
      <w:b/>
      <w:bCs/>
      <w:color w:val="155E75"/>
    </w:rPr>
  </w:style>
  <w:style w:type="character" w:styleId="IndexLink">
    <w:name w:val="cudoc Contents Link"/>
    <w:basedOn w:val="DefaultParagraphFont"/>
    <w:uiPriority w:val="99"/>
    <w:unhideWhenUsed/>
    <w:rPr>
      <w:color w:val="1E293B"/>
    </w:rPr>
  </w:style>
  <w:style w:type="character" w:styleId="CudocCode">
    <w:name w:val="cudoc Code"/>
    <w:basedOn w:val="DefaultParagraphFont"/>
    <w:uiPriority w:val="99"/>
    <w:unhideWhenUsed/>
    <w:rPr>
      <w:rFonts w:ascii="Consolas" w:cs="Consolas" w:eastAsia="Malgun Gothic" w:hAnsi="Consolas"/>
      <w:sz w:val="18"/>
      <w:szCs w:val="18"/>
      <w:shd w:fill="F1F5F9" w:val="clear"/>
    </w:rPr>
  </w:style>
  <w:style w:type="character" w:styleId="CudocLinkUrl">
    <w:name w:val="cudoc Link URL"/>
    <w:basedOn w:val="DefaultParagraphFont"/>
    <w:uiPriority w:val="99"/>
    <w:unhideWhenUsed/>
    <w:rPr>
      <w:color w:val="475569"/>
      <w:sz w:val="17"/>
      <w:szCs w:val="17"/>
    </w:rPr>
  </w:style>
  <w:style w:type="character" w:styleId="CudocBadge">
    <w:name w:val="cudoc Badge"/>
    <w:basedOn w:val="DefaultParagraphFont"/>
    <w:uiPriority w:val="99"/>
    <w:unhideWhenUsed/>
    <w:rPr>
      <w:b/>
      <w:bCs/>
      <w:color w:val="155E75"/>
      <w:sz w:val="17"/>
      <w:szCs w:val="17"/>
      <w:shd w:fill="E0F2FE" w:val="clear"/>
    </w:rPr>
  </w:style>
  <w:style w:type="character" w:styleId="CudocCodeKeyword">
    <w:name w:val="cudoc Code Keyword"/>
    <w:basedOn w:val="CudocCode"/>
    <w:uiPriority w:val="99"/>
    <w:unhideWhenUsed/>
    <w:rPr>
      <w:color w:val="7C3AED"/>
    </w:rPr>
  </w:style>
  <w:style w:type="character" w:styleId="CudocCodeString">
    <w:name w:val="cudoc Code String"/>
    <w:basedOn w:val="CudocCode"/>
    <w:uiPriority w:val="99"/>
    <w:unhideWhenUsed/>
    <w:rPr>
      <w:color w:val="0F766E"/>
    </w:rPr>
  </w:style>
  <w:style w:type="character" w:styleId="CudocCodeComment">
    <w:name w:val="cudoc Code Comment"/>
    <w:basedOn w:val="CudocCode"/>
    <w:uiPriority w:val="99"/>
    <w:unhideWhenUsed/>
    <w:rPr>
      <w:i/>
      <w:iCs/>
      <w:color w:val="5B6B7F"/>
    </w:rPr>
  </w:style>
  <w:style w:type="character" w:styleId="CudocCodeNumber">
    <w:name w:val="cudoc Code Number"/>
    <w:basedOn w:val="CudocCode"/>
    <w:uiPriority w:val="99"/>
    <w:unhideWhenUsed/>
    <w:rPr>
      <w:color w:val="B45309"/>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header" Target="header3.xml"/><Relationship Id="rId12" Type="http://schemas.openxmlformats.org/officeDocument/2006/relationships/header" Target="header4.xml"/><Relationship Id="rId13" Type="http://schemas.openxmlformats.org/officeDocument/2006/relationships/footer" Target="footer3.xml"/><Relationship Id="rId14" Type="http://schemas.openxmlformats.org/officeDocument/2006/relationships/footer" Target="footer4.xml"/><Relationship Id="rId15" Type="http://schemas.openxmlformats.org/officeDocument/2006/relationships/header" Target="header5.xml"/><Relationship Id="rId16" Type="http://schemas.openxmlformats.org/officeDocument/2006/relationships/header" Target="header6.xml"/><Relationship Id="rId17" Type="http://schemas.openxmlformats.org/officeDocument/2006/relationships/footer" Target="footer5.xml"/><Relationship Id="rId18" Type="http://schemas.openxmlformats.org/officeDocument/2006/relationships/footer" Target="footer6.xml"/><Relationship Id="rId19" Type="http://schemas.openxmlformats.org/officeDocument/2006/relationships/header" Target="header7.xml"/><Relationship Id="rId20" Type="http://schemas.openxmlformats.org/officeDocument/2006/relationships/header" Target="header8.xml"/><Relationship Id="rId21" Type="http://schemas.openxmlformats.org/officeDocument/2006/relationships/footer" Target="footer7.xml"/><Relationship Id="rId22" Type="http://schemas.openxmlformats.org/officeDocument/2006/relationships/footer" Target="footer8.xml"/><Relationship Id="rId23" Type="http://schemas.openxmlformats.org/officeDocument/2006/relationships/header" Target="header9.xml"/><Relationship Id="rId24" Type="http://schemas.openxmlformats.org/officeDocument/2006/relationships/header" Target="header10.xml"/><Relationship Id="rId25" Type="http://schemas.openxmlformats.org/officeDocument/2006/relationships/footer" Target="footer9.xml"/><Relationship Id="rId26" Type="http://schemas.openxmlformats.org/officeDocument/2006/relationships/footer" Target="footer10.xml"/><Relationship Id="rId27" Type="http://schemas.openxmlformats.org/officeDocument/2006/relationships/header" Target="header11.xml"/><Relationship Id="rId28" Type="http://schemas.openxmlformats.org/officeDocument/2006/relationships/header" Target="header12.xml"/><Relationship Id="rId29" Type="http://schemas.openxmlformats.org/officeDocument/2006/relationships/footer" Target="footer11.xml"/><Relationship Id="rId30" Type="http://schemas.openxmlformats.org/officeDocument/2006/relationships/footer" Target="footer12.xml"/><Relationship Id="rId31" Type="http://schemas.openxmlformats.org/officeDocument/2006/relationships/header" Target="header13.xml"/><Relationship Id="rId32" Type="http://schemas.openxmlformats.org/officeDocument/2006/relationships/header" Target="header14.xml"/><Relationship Id="rId33" Type="http://schemas.openxmlformats.org/officeDocument/2006/relationships/footer" Target="footer13.xml"/><Relationship Id="rId34" Type="http://schemas.openxmlformats.org/officeDocument/2006/relationships/footer" Target="footer14.xml"/><Relationship Id="rId35" Type="http://schemas.openxmlformats.org/officeDocument/2006/relationships/header" Target="header15.xml"/><Relationship Id="rId36" Type="http://schemas.openxmlformats.org/officeDocument/2006/relationships/header" Target="header16.xml"/><Relationship Id="rId37" Type="http://schemas.openxmlformats.org/officeDocument/2006/relationships/footer" Target="footer15.xml"/><Relationship Id="rId38" Type="http://schemas.openxmlformats.org/officeDocument/2006/relationships/footer" Target="footer16.xml"/><Relationship Id="rId39" Type="http://schemas.openxmlformats.org/officeDocument/2006/relationships/header" Target="header17.xml"/><Relationship Id="rId40" Type="http://schemas.openxmlformats.org/officeDocument/2006/relationships/header" Target="header18.xml"/><Relationship Id="rId41" Type="http://schemas.openxmlformats.org/officeDocument/2006/relationships/footer" Target="footer17.xml"/><Relationship Id="rId42" Type="http://schemas.openxmlformats.org/officeDocument/2006/relationships/footer" Target="footer18.xml"/><Relationship Id="rId43" Type="http://schemas.openxmlformats.org/officeDocument/2006/relationships/header" Target="header19.xml"/><Relationship Id="rId44" Type="http://schemas.openxmlformats.org/officeDocument/2006/relationships/header" Target="header20.xml"/><Relationship Id="rId45" Type="http://schemas.openxmlformats.org/officeDocument/2006/relationships/footer" Target="footer19.xml"/><Relationship Id="rId46" Type="http://schemas.openxmlformats.org/officeDocument/2006/relationships/footer" Target="footer20.xml"/><Relationship Id="rId47" Type="http://schemas.openxmlformats.org/officeDocument/2006/relationships/image" Target="media/756f41e126198b9c5a596105bf05fca9889b7bca.png"/><Relationship Id="rId48" Type="http://schemas.openxmlformats.org/officeDocument/2006/relationships/image" Target="media/517b7839285ac27a1039d269e0636fa9f4593635.png"/><Relationship Id="rId4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er6.xml.rels><?xml version="1.0" encoding="UTF-8"?><Relationships xmlns="http://schemas.openxmlformats.org/package/2006/relationships"/>
</file>

<file path=word/_rels/footer7.xml.rels><?xml version="1.0" encoding="UTF-8"?><Relationships xmlns="http://schemas.openxmlformats.org/package/2006/relationships"/>
</file>

<file path=word/_rels/footer8.xml.rels><?xml version="1.0" encoding="UTF-8"?><Relationships xmlns="http://schemas.openxmlformats.org/package/2006/relationships"/>
</file>

<file path=word/_rels/footer9.xml.rels><?xml version="1.0" encoding="UTF-8"?><Relationships xmlns="http://schemas.openxmlformats.org/package/2006/relationships"/>
</file>

<file path=word/_rels/footer10.xml.rels><?xml version="1.0" encoding="UTF-8"?><Relationships xmlns="http://schemas.openxmlformats.org/package/2006/relationships"/>
</file>

<file path=word/_rels/footer11.xml.rels><?xml version="1.0" encoding="UTF-8"?><Relationships xmlns="http://schemas.openxmlformats.org/package/2006/relationships"/>
</file>

<file path=word/_rels/footer12.xml.rels><?xml version="1.0" encoding="UTF-8"?><Relationships xmlns="http://schemas.openxmlformats.org/package/2006/relationships"/>
</file>

<file path=word/_rels/footer13.xml.rels><?xml version="1.0" encoding="UTF-8"?><Relationships xmlns="http://schemas.openxmlformats.org/package/2006/relationships"/>
</file>

<file path=word/_rels/footer14.xml.rels><?xml version="1.0" encoding="UTF-8"?><Relationships xmlns="http://schemas.openxmlformats.org/package/2006/relationships"/>
</file>

<file path=word/_rels/footer15.xml.rels><?xml version="1.0" encoding="UTF-8"?><Relationships xmlns="http://schemas.openxmlformats.org/package/2006/relationships"/>
</file>

<file path=word/_rels/footer16.xml.rels><?xml version="1.0" encoding="UTF-8"?><Relationships xmlns="http://schemas.openxmlformats.org/package/2006/relationships"/>
</file>

<file path=word/_rels/footer17.xml.rels><?xml version="1.0" encoding="UTF-8"?><Relationships xmlns="http://schemas.openxmlformats.org/package/2006/relationships"/>
</file>

<file path=word/_rels/footer18.xml.rels><?xml version="1.0" encoding="UTF-8"?><Relationships xmlns="http://schemas.openxmlformats.org/package/2006/relationships"/>
</file>

<file path=word/_rels/footer19.xml.rels><?xml version="1.0" encoding="UTF-8"?><Relationships xmlns="http://schemas.openxmlformats.org/package/2006/relationships"/>
</file>

<file path=word/_rels/footer20.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word/_rels/header4.xml.rels><?xml version="1.0" encoding="UTF-8"?><Relationships xmlns="http://schemas.openxmlformats.org/package/2006/relationships"/>
</file>

<file path=word/_rels/header5.xml.rels><?xml version="1.0" encoding="UTF-8"?><Relationships xmlns="http://schemas.openxmlformats.org/package/2006/relationships"/>
</file>

<file path=word/_rels/header6.xml.rels><?xml version="1.0" encoding="UTF-8"?><Relationships xmlns="http://schemas.openxmlformats.org/package/2006/relationships"/>
</file>

<file path=word/_rels/header7.xml.rels><?xml version="1.0" encoding="UTF-8"?><Relationships xmlns="http://schemas.openxmlformats.org/package/2006/relationships"/>
</file>

<file path=word/_rels/header8.xml.rels><?xml version="1.0" encoding="UTF-8"?><Relationships xmlns="http://schemas.openxmlformats.org/package/2006/relationships"/>
</file>

<file path=word/_rels/header9.xml.rels><?xml version="1.0" encoding="UTF-8"?><Relationships xmlns="http://schemas.openxmlformats.org/package/2006/relationships"/>
</file>

<file path=word/_rels/header10.xml.rels><?xml version="1.0" encoding="UTF-8"?><Relationships xmlns="http://schemas.openxmlformats.org/package/2006/relationships"/>
</file>

<file path=word/_rels/header11.xml.rels><?xml version="1.0" encoding="UTF-8"?><Relationships xmlns="http://schemas.openxmlformats.org/package/2006/relationships"/>
</file>

<file path=word/_rels/header12.xml.rels><?xml version="1.0" encoding="UTF-8"?><Relationships xmlns="http://schemas.openxmlformats.org/package/2006/relationships"/>
</file>

<file path=word/_rels/header13.xml.rels><?xml version="1.0" encoding="UTF-8"?><Relationships xmlns="http://schemas.openxmlformats.org/package/2006/relationships"/>
</file>

<file path=word/_rels/header14.xml.rels><?xml version="1.0" encoding="UTF-8"?><Relationships xmlns="http://schemas.openxmlformats.org/package/2006/relationships"/>
</file>

<file path=word/_rels/header15.xml.rels><?xml version="1.0" encoding="UTF-8"?><Relationships xmlns="http://schemas.openxmlformats.org/package/2006/relationships"/>
</file>

<file path=word/_rels/header16.xml.rels><?xml version="1.0" encoding="UTF-8"?><Relationships xmlns="http://schemas.openxmlformats.org/package/2006/relationships"/>
</file>

<file path=word/_rels/header17.xml.rels><?xml version="1.0" encoding="UTF-8"?><Relationships xmlns="http://schemas.openxmlformats.org/package/2006/relationships"/>
</file>

<file path=word/_rels/header18.xml.rels><?xml version="1.0" encoding="UTF-8"?><Relationships xmlns="http://schemas.openxmlformats.org/package/2006/relationships"/>
</file>

<file path=word/_rels/header19.xml.rels><?xml version="1.0" encoding="UTF-8"?><Relationships xmlns="http://schemas.openxmlformats.org/package/2006/relationships"/>
</file>

<file path=word/_rels/header20.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Northlight Weather API</dc:title>
  <dc:creator>Un-named</dc:creator>
  <cp:lastModifiedBy>Un-named</cp:lastModifiedBy>
  <cp:revision>1</cp:revision>
  <dcterms:created xsi:type="dcterms:W3CDTF">2026-09-22T09:47:41.917Z</dcterms:created>
  <dcterms:modified xsi:type="dcterms:W3CDTF">2026-09-22T09:47:41.917Z</dcterms:modified>
</cp:coreProperties>
</file>

<file path=docProps/custom.xml><?xml version="1.0" encoding="utf-8"?>
<Properties xmlns="http://schemas.openxmlformats.org/officeDocument/2006/custom-properties" xmlns:vt="http://schemas.openxmlformats.org/officeDocument/2006/docPropsVTypes"/>
</file>