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AI Contract Review</w:t>
      </w:r>
    </w:p>
    <w:p>
      <w:r>
        <w:t>Here is the review of the commercial contract against the AUBURN UNIVERSITY LEGAL PLAYBOOK:</w:t>
      </w:r>
    </w:p>
    <w:p/>
    <w:p>
      <w:r>
        <w:t>---</w:t>
      </w:r>
    </w:p>
    <w:p/>
    <w:p>
      <w:pPr>
        <w:pStyle w:val="Heading2"/>
      </w:pPr>
      <w:r>
        <w:t>1. Records Retention (Retention Period)</w:t>
      </w:r>
    </w:p>
    <w:p/>
    <w:p>
      <w:r>
        <w:rPr>
          <w:b/>
        </w:rPr>
        <w:t>Problematic Section from the Contract:</w:t>
      </w:r>
    </w:p>
    <w:p>
      <w:r>
        <w:t>"NFWF Subrecipient shall maintain all records connected with this Agreement for a period of at least three (3) years following the latest end date of the funding source(s) referenced above in line 19. FUNDING SOURCE INFORMATION/FEDERAL AND NON-FEDERAL or the close-out of all pending matters or audits related to this Agreement, whichever is later. As funding source end dates may be extended over time, the NFWF Subrecipient will be notified of the most up-to-date record retention requirements upon closure of this Award. If any litigation, claim, or audit is started (irrespective of the NFWF Subrecipient’s involvement in such matter) before the expiration of the 3-year period, the records shall be retained until all litigation, claims or audit findings or pending matters involving the records have been resolved and final action taken."</w:t>
      </w:r>
    </w:p>
    <w:p/>
    <w:p>
      <w:r>
        <w:rPr>
          <w:b/>
        </w:rPr>
        <w:t>Why it is an issue:</w:t>
      </w:r>
    </w:p>
    <w:p>
      <w:r>
        <w:t>This clause implies a retention period longer than Auburn's standard of 3 years, potentially extending indefinitely if litigation, claims, or audits are ongoing, which requires special processing and recordkeeping.</w:t>
      </w:r>
    </w:p>
    <w:p/>
    <w:p>
      <w:r>
        <w:rPr>
          <w:b/>
        </w:rPr>
        <w:t>Suggested Redline / Response from the Playbook:</w:t>
      </w:r>
    </w:p>
    <w:p>
      <w:r>
        <w:t>Go up to 5 years</w:t>
      </w:r>
    </w:p>
    <w:p/>
    <w:p>
      <w:r>
        <w:t>---</w:t>
      </w:r>
    </w:p>
    <w:p/>
    <w:p>
      <w:pPr>
        <w:pStyle w:val="Heading2"/>
      </w:pPr>
      <w:r>
        <w:t>2. Records Retention (Access for Audit)</w:t>
      </w:r>
    </w:p>
    <w:p/>
    <w:p>
      <w:r>
        <w:rPr>
          <w:b/>
        </w:rPr>
        <w:t>Problematic Section from the Contract:</w:t>
      </w:r>
    </w:p>
    <w:p>
      <w:r>
        <w:t>"NFWF or any of its authorized representatives shall have access to such records and financial statements upon request, as shall Inspectors General, the Comptroller General of the United States or any of their authorized representatives if the Funding Source or any funding entity (i.e., a secondary funding source) is a federal agency and/or any portion of the Project provided herein is paid with federal funds. The rights of access in this section are not limited to the required retention period but last as long as the records are retained."</w:t>
      </w:r>
    </w:p>
    <w:p/>
    <w:p>
      <w:r>
        <w:rPr>
          <w:b/>
        </w:rPr>
        <w:t>Why it is an issue:</w:t>
      </w:r>
    </w:p>
    <w:p>
      <w:r>
        <w:t>This provision allows for access "upon request," implying an unlimited number of audits, and does not specify "during normal business hours and with reasonable advance notice." Such clauses can be expensive, intrusive, and disruptive.</w:t>
      </w:r>
    </w:p>
    <w:p/>
    <w:p>
      <w:r>
        <w:rPr>
          <w:b/>
        </w:rPr>
        <w:t>Suggested Redline / Response from the Playbook:</w:t>
      </w:r>
    </w:p>
    <w:p>
      <w:r>
        <w:t>add "once per project period"</w:t>
      </w:r>
    </w:p>
    <w:p>
      <w:r>
        <w:t>add "during normal business hours and with reasonable advance notice"</w:t>
      </w:r>
    </w:p>
    <w:p/>
    <w:p>
      <w:r>
        <w:t>---</w:t>
      </w:r>
    </w:p>
    <w:p/>
    <w:p>
      <w:pPr>
        <w:pStyle w:val="Heading2"/>
      </w:pPr>
      <w:r>
        <w:t>3. Assignment</w:t>
      </w:r>
    </w:p>
    <w:p/>
    <w:p>
      <w:r>
        <w:rPr>
          <w:b/>
        </w:rPr>
        <w:t>Problematic Section from the Contract:</w:t>
      </w:r>
    </w:p>
    <w:p>
      <w:r>
        <w:t>"The NFWF Subrecipient may not assign this Agreement, in whole or in part, to any other individual or other legal entity without the prior written approval of NFWF."</w:t>
      </w:r>
    </w:p>
    <w:p/>
    <w:p>
      <w:r>
        <w:rPr>
          <w:b/>
        </w:rPr>
        <w:t>Why it is an issue:</w:t>
      </w:r>
    </w:p>
    <w:p>
      <w:r>
        <w:t>This clause would not allow Auburn to hire consultants, vendors, or issue subawards without prior approval, hindering normal operational flexibility.</w:t>
      </w:r>
    </w:p>
    <w:p/>
    <w:p>
      <w:r>
        <w:rPr>
          <w:b/>
        </w:rPr>
        <w:t>Suggested Redline / Response from the Playbook:</w:t>
      </w:r>
    </w:p>
    <w:p>
      <w:r>
        <w:t>have it struck</w:t>
      </w:r>
    </w:p>
    <w:p/>
    <w:p>
      <w:r>
        <w:t>---</w:t>
      </w:r>
    </w:p>
    <w:p/>
    <w:p>
      <w:pPr>
        <w:pStyle w:val="Heading2"/>
      </w:pPr>
      <w:r>
        <w:t>4. Publicity, Acknowledgment of Support (NFWF)</w:t>
      </w:r>
    </w:p>
    <w:p/>
    <w:p>
      <w:r>
        <w:rPr>
          <w:b/>
        </w:rPr>
        <w:t>Problematic Section from the Contract:</w:t>
      </w:r>
    </w:p>
    <w:p>
      <w:r>
        <w:t>"The NFWF Subrecipient agrees to: (1) give appropriate credit to NFWF and any Funding Sources identified in this Agreement for their financial support in any and all press releases, publications, annual reports, signage, video credits, dedications, and other public communications regarding this Agreement or any of the project deliverables associated with this Agreement, subject to any terms and conditions as may be stated in Section 5 and Section 6 of this Agreement..."</w:t>
      </w:r>
    </w:p>
    <w:p/>
    <w:p>
      <w:r>
        <w:rPr>
          <w:b/>
        </w:rPr>
        <w:t>Why it is an issue:</w:t>
      </w:r>
    </w:p>
    <w:p>
      <w:r>
        <w:t>This is a requirement to promote the sponsor's name or logo, or to let them promote ours on websites, etc. Auburn does not want to agree to such requirements.</w:t>
      </w:r>
    </w:p>
    <w:p/>
    <w:p>
      <w:r>
        <w:rPr>
          <w:b/>
        </w:rPr>
        <w:t>Suggested Redline / Response from the Playbook:</w:t>
      </w:r>
    </w:p>
    <w:p>
      <w:r>
        <w:t>remove the requirement</w:t>
      </w:r>
    </w:p>
    <w:p/>
    <w:p>
      <w:r>
        <w:t>---</w:t>
      </w:r>
    </w:p>
    <w:p/>
    <w:p>
      <w:pPr>
        <w:pStyle w:val="Heading2"/>
      </w:pPr>
      <w:r>
        <w:t>5. Arbitration</w:t>
      </w:r>
    </w:p>
    <w:p/>
    <w:p>
      <w:r>
        <w:rPr>
          <w:b/>
        </w:rPr>
        <w:t>Problematic Section from the Contract:</w:t>
      </w:r>
    </w:p>
    <w:p>
      <w:r>
        <w:t>"All claims, disputes, and other matters in question arising out of, or relating to this Agreement, its interpretation or breach, shall be decided through arbitration by a person or persons mutually acceptable to both NFWF and the NFWF Subrecipient. Notice of the demand for arbitration shall be made within a reasonable time, not to exceed three years, after the claim, dispute, or other matter in question has arisen. The award rendered by the arbitrator or arbitrators shall be final. The terms of this provision will survive termination of this Agreement."</w:t>
      </w:r>
    </w:p>
    <w:p/>
    <w:p>
      <w:r>
        <w:rPr>
          <w:b/>
        </w:rPr>
        <w:t>Why it is an issue:</w:t>
      </w:r>
    </w:p>
    <w:p>
      <w:r>
        <w:t>Auburn University is an instrumentality of the State of Alabama and is therefore granted sovereign immunity under the Alabama Constitution and the United States Constitution. Alabama law provides that the exclusive venue for a claim for damages against Auburn is the Alabama State Board of Adjustment.</w:t>
      </w:r>
    </w:p>
    <w:p/>
    <w:p>
      <w:r>
        <w:rPr>
          <w:b/>
        </w:rPr>
        <w:t>Suggested Redline / Response from the Playbook:</w:t>
      </w:r>
    </w:p>
    <w:p>
      <w:r>
        <w:t>Remove references to binding dispute resolution, like arbitration. Leave references to non-binding dispute resolution, like mediation.</w:t>
      </w:r>
    </w:p>
    <w:p/>
    <w:p>
      <w:r>
        <w:t>---</w:t>
      </w:r>
    </w:p>
    <w:p/>
    <w:p>
      <w:pPr>
        <w:pStyle w:val="Heading2"/>
      </w:pPr>
      <w:r>
        <w:t>6. Indemnity</w:t>
      </w:r>
    </w:p>
    <w:p/>
    <w:p>
      <w:r>
        <w:rPr>
          <w:b/>
        </w:rPr>
        <w:t>Problematic Section from the Contract:</w:t>
      </w:r>
    </w:p>
    <w:p>
      <w:r>
        <w:t>"The NFWF Subrecipient shall indemnify and hold harmless NFWF, any Funding Source identified in this Grant Agreement, their respective officers, directors, agents, and employees in respect of any and all claims, injuries, losses, diminution in value, damages, liabilities, whether or not currently due, and expenses including without limitation, settlement costs and any legal or other expenses for investigating or defending any actions or threatened actions or liabilities arising from or in connection with the Project. The terms of this provision will survive termination of this Agreement."</w:t>
      </w:r>
    </w:p>
    <w:p/>
    <w:p>
      <w:r>
        <w:rPr>
          <w:b/>
        </w:rPr>
        <w:t>Why it is an issue:</w:t>
      </w:r>
    </w:p>
    <w:p>
      <w:r>
        <w:t>Auburn University is a public university supported (in-part) with State of Alabama funds. As a matter of public policy, state agencies are prohibited from pledging the assets of the State. Thus, Auburn cannot create a liability for the State by agreeing to indemnify and waive/release liability for an outside party.</w:t>
      </w:r>
    </w:p>
    <w:p/>
    <w:p>
      <w:r>
        <w:rPr>
          <w:b/>
        </w:rPr>
        <w:t>Suggested Redline / Response from the Playbook:</w:t>
      </w:r>
    </w:p>
    <w:p>
      <w:r>
        <w:t>Each party shall be responsible for its own acts or omissions and for any and all claims and injuries which may result or arise out of any alleged malfeasance or neglect caused or alleged to have been caused by that party or its employees in the performance or omission of any act or responsibility of that party under this agreement or any purchase order issued pursuant to this agreement.</w:t>
      </w:r>
    </w:p>
    <w:p/>
    <w:p>
      <w:r>
        <w:t>---</w:t>
      </w:r>
    </w:p>
    <w:p/>
    <w:p>
      <w:pPr>
        <w:pStyle w:val="Heading2"/>
      </w:pPr>
      <w:r>
        <w:t>7. Insurance (Additional Insured)</w:t>
      </w:r>
    </w:p>
    <w:p/>
    <w:p>
      <w:r>
        <w:rPr>
          <w:b/>
        </w:rPr>
        <w:t>Problematic Section from the Contract:</w:t>
      </w:r>
    </w:p>
    <w:p>
      <w:r>
        <w:t>"NFWF reserves the right to require additional insurance limits and policies based on specific activities under this Agreement, that NFWF be named insured on all applicable insurance policies, and that the NFWF Subrecipient provide a certificate of insurance and/or copies of applicable insurance policies as requested by NFWF."</w:t>
      </w:r>
    </w:p>
    <w:p/>
    <w:p>
      <w:r>
        <w:rPr>
          <w:b/>
        </w:rPr>
        <w:t>Why it is an issue:</w:t>
      </w:r>
    </w:p>
    <w:p>
      <w:r>
        <w:t>Auburn University is a public university supported (in-part) with State of Alabama funds. As a matter of public policy, state agencies are prohibited from pledging the assets of the State. Thus, Auburn cannot create a liability for the State by agreeing to indemnify and waive/release liability for an outside party.</w:t>
      </w:r>
    </w:p>
    <w:p/>
    <w:p>
      <w:r>
        <w:rPr>
          <w:b/>
        </w:rPr>
        <w:t>Suggested Redline / Response from the Playbook:</w:t>
      </w:r>
    </w:p>
    <w:p>
      <w:r>
        <w:t>Risk Management</w:t>
      </w:r>
    </w:p>
    <w:p/>
    <w:p>
      <w:r>
        <w:t>---</w:t>
      </w:r>
    </w:p>
    <w:p/>
    <w:p>
      <w:pPr>
        <w:pStyle w:val="Heading2"/>
      </w:pPr>
      <w:r>
        <w:t>8. Choice of Law/Jurisdiction</w:t>
      </w:r>
    </w:p>
    <w:p/>
    <w:p>
      <w:r>
        <w:rPr>
          <w:b/>
        </w:rPr>
        <w:t>Problematic Section from the Contract:</w:t>
      </w:r>
    </w:p>
    <w:p>
      <w:r>
        <w:t>"This Agreement shall be subject to and interpreted by the laws of the District of Columbia State of Alabama, without regard to choice of law principles. By entering into this Agreement, the NFWF Subrecipient agrees to submit to the exclusive jurisdiction of the courts of the District of Columbia State of Alabama. The terms of this provision will survive termination of this Agreement."</w:t>
      </w:r>
    </w:p>
    <w:p/>
    <w:p>
      <w:r>
        <w:rPr>
          <w:b/>
        </w:rPr>
        <w:t>Why it is an issue:</w:t>
      </w:r>
    </w:p>
    <w:p>
      <w:r>
        <w:t>As an instrumentality of the State of Alabama, Auburn University is granted sovereign immunity under Article I, Section 14 of the Alabama Constitution, and under the 11th Amendment to the United States Constitutions. Auburn University does not have the authority to waive its sovereign immunity. Further, Alabama Code makes it clear that the exclusive venue for any claim for damages against Auburn must be the Alabama State Board of Adjustment, which exists to resolve all claims against the State or any of its institutions, arising out of any contract to which its institutions are parties, where there is claimed a legal or moral obligation resting on the state.” Because of this, Auburn cannot agree to be subjected to the legal process of any jurisdiction other than the State of Alabama.</w:t>
      </w:r>
    </w:p>
    <w:p/>
    <w:p>
      <w:r>
        <w:rPr>
          <w:b/>
        </w:rPr>
        <w:t>Suggested Redline / Response from the Playbook:</w:t>
      </w:r>
    </w:p>
    <w:p>
      <w:r>
        <w:t>Revise the agreement to the preferred language (referring to Alabama law and venue).</w:t>
      </w:r>
    </w:p>
    <w:p/>
    <w:p>
      <w:r>
        <w:t>---</w:t>
      </w:r>
    </w:p>
    <w:p/>
    <w:p>
      <w:pPr>
        <w:pStyle w:val="Heading2"/>
      </w:pPr>
      <w:r>
        <w:t>9. Termination (Recoupment Contingency)</w:t>
      </w:r>
    </w:p>
    <w:p/>
    <w:p>
      <w:r>
        <w:rPr>
          <w:b/>
        </w:rPr>
        <w:t>Problematic Section from the Contract:</w:t>
      </w:r>
    </w:p>
    <w:p>
      <w:r>
        <w:t>"NFWF will reimburse the NFWF Subrecipient for non-cancelable allowable costs incurred by the NFWF Subrecipient prior to termination that cannot be mitigated. However, the foregoing is subject to the complete reimbursement of such costs by the Funding Source; accordingly, any amounts ultimately not paid, or which are recouped by the Funding Source, are subject to recoupment by NFWF."</w:t>
      </w:r>
    </w:p>
    <w:p/>
    <w:p>
      <w:r>
        <w:rPr>
          <w:b/>
        </w:rPr>
        <w:t>Why it is an issue:</w:t>
      </w:r>
    </w:p>
    <w:p>
      <w:r>
        <w:t>This clause means that Auburn would lose money if the Funding Source does not fully reimburse NFWF for costs incurred by Auburn, effectively requiring Auburn to return money already spent on work performed prior to termination. Auburn should be paid for the work it did prior to the termination.</w:t>
      </w:r>
    </w:p>
    <w:p/>
    <w:p>
      <w:r>
        <w:rPr>
          <w:b/>
        </w:rPr>
        <w:t>Suggested Redline / Response from the Playbook:</w:t>
      </w:r>
    </w:p>
    <w:p>
      <w:r>
        <w:t>we did work prior to the termination, we should be paid for that work</w:t>
      </w:r>
    </w:p>
    <w:p/>
    <w:p>
      <w:r>
        <w:t>---</w:t>
      </w:r>
    </w:p>
    <w:p/>
    <w:p>
      <w:pPr>
        <w:pStyle w:val="Heading2"/>
      </w:pPr>
      <w:r>
        <w:t>10. Survival</w:t>
      </w:r>
    </w:p>
    <w:p/>
    <w:p>
      <w:r>
        <w:rPr>
          <w:b/>
        </w:rPr>
        <w:t>Problematic Section from the Contract:</w:t>
      </w:r>
    </w:p>
    <w:p>
      <w:r>
        <w:t>"Notwithstanding any express statements regarding the continuation of an obligation beyond the expiration or termination of this Agreement, the rights and obligations of this Agreement, which by their nature extend beyond its expiration or termination, shall remain in full force and effect and shall bind the Parties and their legal representatives, successors, heirs, and assigns."</w:t>
      </w:r>
    </w:p>
    <w:p/>
    <w:p>
      <w:r>
        <w:rPr>
          <w:b/>
        </w:rPr>
        <w:t>Why it is an issue:</w:t>
      </w:r>
    </w:p>
    <w:p>
      <w:r>
        <w:t>Auburn cannot accept a blanket survival clause that implies everything survives, as certain obligations (e.g., confidentiality) cannot be indefinite. Specific contract elements should be reviewed for appropriate survival.</w:t>
      </w:r>
    </w:p>
    <w:p/>
    <w:p>
      <w:r>
        <w:rPr>
          <w:b/>
        </w:rPr>
        <w:t>Suggested Redline / Response from the Playbook:</w:t>
      </w:r>
    </w:p>
    <w:p>
      <w:r>
        <w:t>see individual contract element for the correct response (For this blanket clause, it would generally mean striking it and addressing survival on a clause-by-clause basis).</w:t>
      </w:r>
    </w:p>
    <w:p/>
    <w:p>
      <w:r>
        <w:t>---</w:t>
      </w:r>
    </w:p>
    <w:p/>
    <w:p>
      <w:pPr>
        <w:pStyle w:val="Heading2"/>
      </w:pPr>
      <w:r>
        <w:t>11. Presentation and Publication Credits (FWS)</w:t>
      </w:r>
    </w:p>
    <w:p/>
    <w:p>
      <w:r>
        <w:rPr>
          <w:b/>
        </w:rPr>
        <w:t>Problematic Section from the Contract:</w:t>
      </w:r>
    </w:p>
    <w:p>
      <w:r>
        <w:t>"All videos, educational manuals, oral and written presentations, reports, books, publications and other products must acknowledge the U.S. Fish and Wildlife Service and include the grant number. As appropriate for the funding source(s), grant products must display the U.S. Fish and Wildlife Service logo."</w:t>
      </w:r>
    </w:p>
    <w:p/>
    <w:p>
      <w:r>
        <w:rPr>
          <w:b/>
        </w:rPr>
        <w:t>Why it is an issue:</w:t>
      </w:r>
    </w:p>
    <w:p>
      <w:r>
        <w:t>This is a requirement to have their logo on Auburn's materials or to promote the sponsor's name/logo, which Auburn generally does not agree to.</w:t>
      </w:r>
    </w:p>
    <w:p/>
    <w:p>
      <w:r>
        <w:rPr>
          <w:b/>
        </w:rPr>
        <w:t>Suggested Redline / Response from the Playbook:</w:t>
      </w:r>
    </w:p>
    <w:p>
      <w:r>
        <w:t>remove the requirement</w:t>
      </w:r>
    </w:p>
    <w:p/>
    <w:p>
      <w:r>
        <w:t>---</w:t>
      </w:r>
    </w:p>
    <w:p/>
    <w:p>
      <w:pPr>
        <w:pStyle w:val="Heading2"/>
      </w:pPr>
      <w:r>
        <w:t>12. Communications, Publicity and Acknowledgement of Support (Southern Company)</w:t>
      </w:r>
    </w:p>
    <w:p/>
    <w:p>
      <w:r>
        <w:rPr>
          <w:b/>
        </w:rPr>
        <w:t>Problematic Section from the Contract:</w:t>
      </w:r>
    </w:p>
    <w:p>
      <w:r>
        <w:t>"On request by Southern Company Services, Inc. (SCS), the NFWF Subrecipent must provide photographs, videos, logos and other materials for the purpose of SCS and NFWF promoting the relationships in presentations on the Internet and as otherwise deemed appropriate."</w:t>
      </w:r>
    </w:p>
    <w:p/>
    <w:p>
      <w:r>
        <w:rPr>
          <w:b/>
        </w:rPr>
        <w:t>Why it is an issue:</w:t>
      </w:r>
    </w:p>
    <w:p>
      <w:r>
        <w:t>This is a requirement to provide Auburn's logos and other materials for the purpose of promoting the sponsor, which Auburn generally does not agree to.</w:t>
      </w:r>
    </w:p>
    <w:p/>
    <w:p>
      <w:r>
        <w:rPr>
          <w:b/>
        </w:rPr>
        <w:t>Suggested Redline / Response from the Playbook:</w:t>
      </w:r>
    </w:p>
    <w:p>
      <w:r>
        <w:t>remove the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