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Here is the review of the provided contract against the Auburn University Legal Playbook:</w:t>
      </w:r>
    </w:p>
    <w:p/>
    <w:p>
      <w:r>
        <w:t>---</w:t>
      </w:r>
    </w:p>
    <w:p/>
    <w:p>
      <w:pPr>
        <w:pStyle w:val="Heading2"/>
      </w:pPr>
      <w:r>
        <w:t>Contract Review for Auburn University</w:t>
      </w:r>
    </w:p>
    <w:p/>
    <w:p>
      <w:r>
        <w:rPr>
          <w:b/>
        </w:rPr>
        <w:t>1. Problematic Section: PUBLICATIONS</w:t>
      </w:r>
    </w:p>
    <w:p>
      <w:r>
        <w:t>"Subcontractor will submit all proposed publication materials to Contractor for review and comment at least **90 days** prior to planned submission for publication (“Publication Review Period”). Subcontractor must notify Contractor within the Publication Review Period whether such draft contains information deemed to be confidential information that, if published would have an adverse effect on a patent application. In the event of such an objection, Subcontract and Contractor agree to negotiate in good faith an acceptable version of the publication. The obligation set forth in the paragraph shall continue throughout the term of this Subcontract and for a period of thirty (30) days following expiration and/or earlier termination of this Subcontract."</w:t>
      </w:r>
    </w:p>
    <w:p/>
    <w:p>
      <w:r>
        <w:rPr>
          <w:b/>
        </w:rPr>
        <w:t>WHY IT IS AN ISSUE:</w:t>
      </w:r>
    </w:p>
    <w:p>
      <w:r>
        <w:t>The Playbook states that "delays in publications beyond 30 days to review for confidential information and protectable IP, or beyond 60 additional (or 90 total days) to file on protectable IP" are unacceptable. Requiring a 90-day review period prior to submission for publication, without specifying a separate, shorter review for confidential information/IP and then an additional period for filing, violates Auburn's policy on publications. As a public educational institution, dissemination of knowledge is a primary mission, and lengthy publication delays are problematic.</w:t>
      </w:r>
    </w:p>
    <w:p/>
    <w:p>
      <w:r>
        <w:rPr>
          <w:b/>
        </w:rPr>
        <w:t>SUGGESTED REDLINE/RESPONSE:</w:t>
      </w:r>
    </w:p>
    <w:p>
      <w:r>
        <w:t>"remove any prior approval language" (and replace with standard review periods) or specifically:</w:t>
      </w:r>
    </w:p>
    <w:p>
      <w:r>
        <w:t>"When appropriate, publications may be reviewed by sponsors in order for the sponsor to request the removal of their defined confidential information and to allow for a reasonable amount of time to secure protection of patent rights. Generally a 30 day review period is reasonable, with an additional 60 or 90 total days for filing on new IP. It is important to put in a time limit on review. It is also important to determine what the agreement defines “confidential information” to consist of. For example, the agreement could allow full publication rights of anything not considered “confidential” or “Sponsor Property,” but if the definition of either of these two things consists of research results of the project, there is in effect no freedom to publish."</w:t>
      </w:r>
    </w:p>
    <w:p/>
    <w:p>
      <w:r>
        <w:t>---</w:t>
      </w:r>
    </w:p>
    <w:p/>
    <w:p>
      <w:r>
        <w:rPr>
          <w:b/>
        </w:rPr>
        <w:t>2. Problematic Section: PATENT RIGHTS (Incorporation of FAR 52.227-3)</w:t>
      </w:r>
    </w:p>
    <w:p>
      <w:r>
        <w:t>"Patent Rights Clauses. Rights in Patents under this Subcontract shall be determined in accordance with the following FAR Part 27 clauses and provisions:</w:t>
      </w:r>
    </w:p>
    <w:p>
      <w:r>
        <w:t>...</w:t>
      </w:r>
    </w:p>
    <w:p>
      <w:r>
        <w:t>FAR 52.227-3 Patent Indemnity</w:t>
      </w:r>
    </w:p>
    <w:p>
      <w:r>
        <w:t>..."</w:t>
      </w:r>
    </w:p>
    <w:p/>
    <w:p>
      <w:r>
        <w:rPr>
          <w:b/>
        </w:rPr>
        <w:t>WHY IT IS AN ISSUE:</w:t>
      </w:r>
    </w:p>
    <w:p>
      <w:r>
        <w:t>The Playbook states that "Any warranty against IP infringement should be deleted." Warranty provisions violate against pledges of the State's credit and the prohibition against gratuities by the State, as resources may have to be expended to satisfy such a warranty. Auburn cannot warrant, covenant, or provide any type of contractual guarantee. Incorporating a patent indemnity clause would obligate Auburn in a manner inconsistent with its status as an instrumentality of the State of Alabama.</w:t>
      </w:r>
    </w:p>
    <w:p/>
    <w:p>
      <w:r>
        <w:rPr>
          <w:b/>
        </w:rPr>
        <w:t>SUGGESTED REDLINE/RESPONSE:</w:t>
      </w:r>
    </w:p>
    <w:p>
      <w:r>
        <w:t>"Any warranty against IP infringement should be deleted."</w:t>
      </w:r>
    </w:p>
    <w:p/>
    <w:p>
      <w:r>
        <w:t>---</w:t>
      </w:r>
    </w:p>
    <w:p/>
    <w:p>
      <w:r>
        <w:rPr>
          <w:b/>
        </w:rPr>
        <w:t>3. Problematic Section: DATA RIGHTS AND COPYRIGHTS (Records Retention)</w:t>
      </w:r>
    </w:p>
    <w:p>
      <w:r>
        <w:t>"Data First Produced by the Government and/or Prime Contractor. To the extent that data first produced by the Government and/or Contractor during the performance of this Subcontract is used by or on behalf of Subcontractor in the performance of this Subcontract, the Government and/or Contractor shall retain its/their preexisting rights in such data, including modifications or changes, made by either Government, Contractor, and/or Subcontractor, to such data as part of the performance under this Subcontract. Such data will, to the extent permitted by law, be appropriately marked with a suitable notice or legend and maintained in confidence by Subcontractor for a period of **ten (10) years** after the development of the data, with the express understanding that during the aforesaid period such data may be disclosed and used (under suitable protective conditions) by or on behalf of the Government for Government purposes only."</w:t>
      </w:r>
    </w:p>
    <w:p/>
    <w:p>
      <w:r>
        <w:rPr>
          <w:b/>
        </w:rPr>
        <w:t>WHY IT IS AN ISSUE:</w:t>
      </w:r>
    </w:p>
    <w:p>
      <w:r>
        <w:t>The Playbook states that "they want longer than our standard of 3 years" for records retention is unacceptable. A ten-year retention period requires special processing and recordkeeping that differs from Auburn's standard, and may require adherence to specific State Records Commission guidelines for digitizing and discarding originals.</w:t>
      </w:r>
    </w:p>
    <w:p/>
    <w:p>
      <w:r>
        <w:rPr>
          <w:b/>
        </w:rPr>
        <w:t>SUGGESTED REDLINE/RESPONSE:</w:t>
      </w:r>
    </w:p>
    <w:p>
      <w:r>
        <w:t>"Go up to 5 years"</w:t>
      </w:r>
    </w:p>
    <w:p/>
    <w:p>
      <w:r>
        <w:t>---</w:t>
      </w:r>
    </w:p>
    <w:p/>
    <w:p>
      <w:r>
        <w:rPr>
          <w:b/>
        </w:rPr>
        <w:t>4. Problematic Section: DATA RIGHTS AND COPYRIGHTS (Trade Secrets)</w:t>
      </w:r>
    </w:p>
    <w:p>
      <w:r>
        <w:t>"Subcontractor’s Prior Technology. In the event it is necessary for Subcontractor to furnish the Government and/or Contractor with data which existed prior to, or was produced outside of, this Subcontract, and such data embodies **trade secrets** or comprises commercial or financial information which is privileged or confidential, and such data is so identified with a suitable notice or legend, the data will be maintained in confidence and disclosed and used by the Government, Government contractors, the Contractor, or contract employees that the Government may hire on a temporary or periodic basis only for the purpose of carrying out the Government’s responsibilities under this Subcontract consistent with the provisions of Section 7 of this Subcontract."</w:t>
      </w:r>
    </w:p>
    <w:p/>
    <w:p>
      <w:r>
        <w:rPr>
          <w:b/>
        </w:rPr>
        <w:t>WHY IT IS AN ISSUE:</w:t>
      </w:r>
    </w:p>
    <w:p>
      <w:r>
        <w:t>The Playbook explicitly states: "Trade Secret – we do not accept bona fide trade secrets." Auburn does not have the resources to provide the level of protection that actual trade secrets require, and trade secrets are required to be kept confidential for an indefinite period, which is also problematic.</w:t>
      </w:r>
    </w:p>
    <w:p/>
    <w:p>
      <w:r>
        <w:rPr>
          <w:b/>
        </w:rPr>
        <w:t>SUGGESTED REDLINE/RESPONSE:</w:t>
      </w:r>
    </w:p>
    <w:p>
      <w:r>
        <w:t>"delete" (the term "trade secrets" or the reference to trade secrets)</w:t>
      </w:r>
    </w:p>
    <w:p/>
    <w:p>
      <w:r>
        <w:t>---</w:t>
      </w:r>
    </w:p>
    <w:p/>
    <w:p>
      <w:r>
        <w:rPr>
          <w:b/>
        </w:rPr>
        <w:t>5. Problematic Section: SAFEGUARDING COVERED DEFENSE INFORMATION (Best Efforts &amp; Export Controls)</w:t>
      </w:r>
    </w:p>
    <w:p>
      <w:r>
        <w:t>"...Subcontractor will certify to Contractor that (a) on its enterprise level information systems, implement the security requirements specified by National Institute of Standards and Technology (NIST) Special Publication (SP) 800-171 per the requirements of the DFARS 252.204-7012 (OCT 2016), and (b) make **reasonable best efforts** regarding the same for those other areas still requiring analysis, specifically Subcontractor's program unique systems/tools and subcontracts requiring flow down, as applicable. Nothing in this paragraph shall be interpreted to foreclose the Subcontractor’s right to seek alternate means of complying with the security requirements in National Institute of Standards and Technology (NIST)Special Publication (SP) 800-171 (as contemplated in DFARS deviation 2016‐O0001 (OCT 2015) (Compliance with Safeguarding Covered Defense Information Controls) and/or DFARS 252.204-7012 (Safeguarding Covered Defense Information and Cyber Incident Reporting)). By signing this Subcontract, Subcontractor represents that it is compliant with the requirements of 48 CFR 252.204-7012."</w:t>
      </w:r>
    </w:p>
    <w:p/>
    <w:p>
      <w:r>
        <w:rPr>
          <w:b/>
        </w:rPr>
        <w:t>WHY IT IS AN ISSUE (Best Efforts):</w:t>
      </w:r>
    </w:p>
    <w:p>
      <w:r>
        <w:t>The Playbook states that "Best Effort Clauses" are unacceptable. "Clauses requiring 'best efforts' leave the University open to non-payment or claims of reimbursement for dissatisfied clients. 'Best efforts' is a vague concept best avoided." While this uses "reasonable best efforts", it still includes "best efforts" which implies a higher standard than "reasonable efforts" alone.</w:t>
      </w:r>
    </w:p>
    <w:p/>
    <w:p>
      <w:r>
        <w:rPr>
          <w:b/>
        </w:rPr>
        <w:t>SUGGESTED REDLINE/RESPONSE (Best Efforts):</w:t>
      </w:r>
    </w:p>
    <w:p>
      <w:r>
        <w:t>“best efforts” should be changed to “reasonable efforts” or “good faith efforts”</w:t>
      </w:r>
    </w:p>
    <w:p/>
    <w:p>
      <w:r>
        <w:rPr>
          <w:b/>
        </w:rPr>
        <w:t>WHY IT IS AN ISSUE (Export Controls):</w:t>
      </w:r>
    </w:p>
    <w:p>
      <w:r>
        <w:t>The Playbook states: "If we accept export control language, we are no longer operating in a Fundamental research environment so we would not have the exclusion to export controls." This clause, by explicitly dealing with "Safeguarding Covered Defense Information" and referencing DFARS 252.204-7012 (which concerns controlled unclassified information (CUI) and often involves export controls), indicates the project will involve or generate export-controlled information.</w:t>
      </w:r>
    </w:p>
    <w:p/>
    <w:p>
      <w:r>
        <w:rPr>
          <w:b/>
        </w:rPr>
        <w:t>SUGGESTED REDLINE/RESPONSE (Export Controls):</w:t>
      </w:r>
    </w:p>
    <w:p>
      <w:r>
        <w:t>"Therefore, in the event that SPONSOR wishes to provide export controlled data or information to Auburn during the course of activity under this Agreement, SPONSOR must first notify Auburn of its intention to provide this data at least thirty (30) days in advance of actually providing this data or information and provide the Export Control classification of such data under the ITAR or EAR. Auburn will then determine whether Auburn can accept such data, as well as the conditions for such receipt if agreed upon. Auburn will then communicate this determination back to SPONSOR within seven (7) days of such determination.”</w:t>
      </w:r>
    </w:p>
    <w:p/>
    <w:p>
      <w:r>
        <w:t>---</w:t>
      </w:r>
    </w:p>
    <w:p/>
    <w:p>
      <w:r>
        <w:rPr>
          <w:b/>
        </w:rPr>
        <w:t>6. Problematic Section: Governing Law and Venue (Multiple references to Kansas Law)</w:t>
      </w:r>
    </w:p>
    <w:p>
      <w:r>
        <w:t>The contract repeatedly references the **State of Kansas** and its specific statutes and agencies, including but not limited to:</w:t>
      </w:r>
    </w:p>
    <w:p>
      <w:r>
        <w:t>*   "The liability of the State of Kansas and the University is defined under the **Kansas Tort Claims Act** (K.S.A. 75-6101 et seq.)." (Disclaimer of Liability)</w:t>
      </w:r>
    </w:p>
    <w:p>
      <w:r>
        <w:t>*   "Contractor agrees: (a) to comply with the **Kansas Act Against Discrimination** (K.S.A. 44-1001 et seq.) and the **Kansas Age Discrimination in Employment Act** (K.S.A. 44-1111 et seq.)... (e) ...by the **Kansas Human Rights Commission**, such violation shall constitute a breach of contract and the agreement may be cancelled, terminated or suspended, in whole or in part, by the contracting state agency or the **Kansas Department of Administration**;" (Anti-Discrimination Clause)</w:t>
      </w:r>
    </w:p>
    <w:p>
      <w:r>
        <w:t>*   "Further, the University does not agree to pay attorney fees, costs, or late payment charges beyond those available under the **Kansas Prompt Payment Act** (K.S.A. 75-6403)..." (Arbitration, Damages and Warranties)</w:t>
      </w:r>
    </w:p>
    <w:p>
      <w:r>
        <w:t>*   "The **State of Kansas** and the University shall not be responsible for, nor indemnify a Contractor for, any federal, state or local taxes..." (Responsibility for Taxes)</w:t>
      </w:r>
    </w:p>
    <w:p>
      <w:r>
        <w:t>*   "Subject to the provisions of the **Kansas Tort Claims Act** (K.S.A. 75-6101 et seq.), Contractor shall bear the risk of any loss or damage..." (Insurance)</w:t>
      </w:r>
    </w:p>
    <w:p>
      <w:r>
        <w:t>*   "No provision of this contract shall be construed as limiting the **State of Kansas Legislative Division of Post Audit** from having access to information pursuant to K.S.A. 46-1101 et seq." (Information)</w:t>
      </w:r>
    </w:p>
    <w:p>
      <w:r>
        <w:t>*   "...complying with the **Kansas Open Records Act** (K.S.A. 45-215 et seq.)." (Confidentiality)</w:t>
      </w:r>
    </w:p>
    <w:p>
      <w:r>
        <w:t>*   "The Eleventh Amendment is an inherent and incumbent protection with the **State of Kansas**..." (The Eleventh Amendment)</w:t>
      </w:r>
    </w:p>
    <w:p>
      <w:r>
        <w:t>*   "No part of the funds provided through this contract shall be used to influence or attempt to influence... any **State of Kansas agency**..." (Campaign Contributions / Lobbying)</w:t>
      </w:r>
    </w:p>
    <w:p>
      <w:r>
        <w:t>*   "If during the course of this contract Contractor is found to owe a debt to the **State of Kansas**, University payments to Contractor may be intercepted / set-off by the **State of Kansas** as set forth by law. Notice of the setoff action will be provided to Contractor. Pursuant to K.S.A. 75-6201 et seq., Contractor shall have the opportunity to challenge the validity of the debt. ... **K.S.A. 75-6201 et seq.** allows the Director of Accounts and Reports to set off University payments to Contractor against debts owed by Contractor to the **State of Kansas**." (Accounts Receivable Set-Off Program)</w:t>
      </w:r>
    </w:p>
    <w:p/>
    <w:p>
      <w:r>
        <w:rPr>
          <w:b/>
        </w:rPr>
        <w:t>WHY IT IS AN ISSUE:</w:t>
      </w:r>
    </w:p>
    <w:p>
      <w:r>
        <w:t>The Playbook clearly states that "other states/countries for law" and specific "Venue" outside of Alabama are unacceptable. As an instrumentality of the State of Alabama, Auburn University is granted sovereign immunity under the Alabama Constitution, and Alabama Code dictates that the exclusive venue for any claims against Auburn is the Alabama State Board of Adjustment. Auburn cannot agree to be subjected to the legal process or specific laws of any jurisdiction other than the State of Alabama. The pervasive referencing of Kansas law, statutes, and agencies in the contract is fundamentally incompatible with Auburn's legal status.</w:t>
      </w:r>
    </w:p>
    <w:p/>
    <w:p>
      <w:r>
        <w:rPr>
          <w:b/>
        </w:rPr>
        <w:t>SUGGESTED REDLINE/RESPONSE:</w:t>
      </w:r>
    </w:p>
    <w:p>
      <w:r>
        <w:t>"Revise the agreement to the preferred language" (which for Auburn is Alabama law and the Alabama State Board of Adjustment for venue).</w:t>
      </w:r>
    </w:p>
    <w:p/>
    <w:p>
      <w:r>
        <w:t>---</w:t>
      </w:r>
    </w:p>
    <w:p/>
    <w:p>
      <w:r>
        <w:rPr>
          <w:b/>
        </w:rPr>
        <w:t>7. Problematic Section: EXPORT CONTROL (Restrictions on Foreign Nationals)</w:t>
      </w:r>
    </w:p>
    <w:p>
      <w:r>
        <w:t>"Contractor agree to comply with all U.S. Laws relating to the transfer, export, or re-export of technology and technical data, as defined in the export controls under the International Traffic in Arms Regulations (ITAR) 22 Code of Federal Regulations Parts 120-130 or the Export Administration Regulations (EAR) 15 Code of Federal Regulations Parts 730-774. The release of information to any employee or other person, who is not a U.S. Citizen or permanent resident, as well as to corporations or to any other entity, organization, or group that is not incorporated or otherwise organized to do business in the United States **may require advanced written authorization from the appropriate U.S. agency.**"</w:t>
      </w:r>
    </w:p>
    <w:p/>
    <w:p>
      <w:r>
        <w:rPr>
          <w:b/>
        </w:rPr>
        <w:t>WHY IT IS AN ISSUE:</w:t>
      </w:r>
    </w:p>
    <w:p>
      <w:r>
        <w:t>The Playbook indicates that "prior approval required to share research results in any manner with non-US persons" is unacceptable. Acceptance of third-party disclosure-related restrictions can expose Auburn to "deemed export" compliance risk because it would not be considered fundamental research. Language restricting information release based on nationality moves the research out of the fundamental research exemption.</w:t>
      </w:r>
    </w:p>
    <w:p/>
    <w:p>
      <w:r>
        <w:rPr>
          <w:b/>
        </w:rPr>
        <w:t>SUGGESTED REDLINE/RESPONSE:</w:t>
      </w:r>
    </w:p>
    <w:p>
      <w:r>
        <w:t>"Engage Research Security Compliance" (as per the Playbook's fallback for refusal to seek Auburn's permission before disclosing export controlled information). For this specific type of problematic language (prior approval for non-US persons), the playbook offers "remain silent" as the suggested redline.</w:t>
      </w:r>
    </w:p>
    <w:p/>
    <w:p>
      <w:r>
        <w:t>---</w:t>
      </w:r>
    </w:p>
    <w:p/>
    <w:p>
      <w:r>
        <w:rPr>
          <w:b/>
        </w:rPr>
        <w:t>8. Problematic Section: INSURANCE (Additional Insured)</w:t>
      </w:r>
    </w:p>
    <w:p>
      <w:r>
        <w:t>"Contractor further agrees to, upon request, include the University as an **additional insured** on its general liability insurance policy on a primary and non-contributory basis and provide the University with a certificate of insurance."</w:t>
      </w:r>
    </w:p>
    <w:p/>
    <w:p>
      <w:r>
        <w:rPr>
          <w:b/>
        </w:rPr>
        <w:t>WHY IT IS AN ISSUE:</w:t>
      </w:r>
    </w:p>
    <w:p>
      <w:r>
        <w:t>The Playbook explicitly lists "Additional Insured" as an unacceptable provision. Auburn University is a public university supported by State of Alabama funds. As a matter of public policy, state agencies are prohibited from pledging the assets of the State, and thus cannot create a liability for the State by agreeing to indemnify and waive/release liability for an outside party, or to name an outside party as an additional insured.</w:t>
      </w:r>
    </w:p>
    <w:p/>
    <w:p>
      <w:r>
        <w:rPr>
          <w:b/>
        </w:rPr>
        <w:t>SUGGESTED REDLINE/RESPONSE:</w:t>
      </w:r>
    </w:p>
    <w:p>
      <w:r>
        <w:t>"Risk Management" (as per the Playbook's instruction for this specific clause).</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