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technical requirements into scalable, secure, and measurable outcomes. Experience spans global health research, enterprise software at Microsoft, and AI consulting for healthcare and finance.</w:t>
      </w:r>
    </w:p>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local LLMs for prototyping; Databricks; prompt, context, and token optimization (FinOps for AI); model selection, evaluation, and A/B testing; AI guardrails and Responsible AI practices; document ingestion pipelines (multi-format: PDF, DOCX, email, OCR), recursive chunking, sentence-transformers embeddings, hybrid search (vector + BM25/RRF), sqlite-vec and pgvector; multi-agent supervisor orchestration patterns (LangGraph-equivalent: supervisor node, conditional routing, async interrupt/resume).</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p>
      <w:pPr>
        <w:pStyle w:val="Heading2"/>
      </w:pPr>
      <w:r>
        <w:t xml:space="preserve">Personal Projects</w:t>
      </w:r>
    </w:p>
    <w:p>
      <w:pPr>
        <w:pStyle w:val="Heading3"/>
      </w:pPr>
      <w:r>
        <w:t xml:space="preserve">Legal Document Intelligence System</w:t>
      </w:r>
    </w:p>
    <w:p>
      <w:pPr>
        <w:pStyle w:val="FirstParagraph"/>
      </w:pPr>
      <w:r>
        <w:rPr>
          <w:i/>
          <w:iCs/>
        </w:rPr>
        <w:t xml:space="preserve">2025 - Present</w:t>
      </w:r>
    </w:p>
    <w:p>
      <w:pPr>
        <w:pStyle w:val="BodyText"/>
      </w:pPr>
      <w:r>
        <w:t xml:space="preserve">Built a production RAG pipeline for legal document analysis: Gmail API and OneDrive source connectors, multi-format extraction (PDF, DOCX, EML, XLSX, OCR), classification-first metadata enrichment, recursive chunking tuned for legal prose, sentence-transformers embeddings (768 dims), and semantic search with sqlite-vec. 314 documents, 4,391 chunks, sub-200ms queries.</w:t>
      </w:r>
    </w:p>
    <w:p>
      <w:pPr>
        <w:pStyle w:val="BodyText"/>
      </w:pPr>
      <w:r>
        <w:t xml:space="preserve">Designed and operate a multi-agent assistant system with supervisor orchestration: primary agent routes tasks to specialized agents (code, legal, research) by type and cost. Async delegation pattern maps to LangGraph interrupt/resume. Each agent is tool-augmented with typed input/output schemas.</w:t>
      </w:r>
    </w:p>
    <w:p>
      <w:pPr>
        <w:pStyle w:val="Heading2"/>
      </w:pPr>
      <w:r>
        <w:t xml:space="preserve">Professional Experience</w:t>
      </w:r>
    </w:p>
    <w:p>
      <w:pPr>
        <w:pStyle w:val="Heading3"/>
      </w:pPr>
      <w:r>
        <w:t xml:space="preserve">Senior Software Engineer (Data and Statistical Modeling) - Gates Foundation</w:t>
      </w:r>
    </w:p>
    <w:p>
      <w:pPr>
        <w:pStyle w:val="FirstParagraph"/>
      </w:pPr>
      <w:r>
        <w:rPr>
          <w:i/>
          <w:iCs/>
        </w:rPr>
        <w:t xml:space="preserve">2025 - Current</w:t>
      </w:r>
      <w:r>
        <w:t xml:space="preserve"> </w:t>
      </w:r>
      <w:r>
        <w:rPr>
          <w:i/>
          <w:iCs/>
        </w:rPr>
        <w:t xml:space="preserve">Seattle, WA</w:t>
      </w:r>
    </w:p>
    <w:p>
      <w:pPr>
        <w:pStyle w:val="Compact"/>
        <w:numPr>
          <w:ilvl w:val="0"/>
          <w:numId w:val="1001"/>
        </w:numPr>
      </w:pPr>
      <w:r>
        <w:t xml:space="preserve">Architected AI-powered epidemiology dashboards for national malaria eradication programs in Nigeria, Senegal, and Benin - surfacing disease indicators, intervention cost-effectiveness, and scenario simulations used by health ministries to drive policy decisions.</w:t>
      </w:r>
    </w:p>
    <w:p>
      <w:pPr>
        <w:pStyle w:val="Compact"/>
        <w:numPr>
          <w:ilvl w:val="0"/>
          <w:numId w:val="1001"/>
        </w:numPr>
      </w:pPr>
      <w:r>
        <w:t xml:space="preserve">Built end-to-end data pipelines from disease simulation outputs to interactive decision-support visualizations for IDM researchers and partner institutions.</w:t>
      </w:r>
    </w:p>
    <w:p>
      <w:pPr>
        <w:pStyle w:val="Compact"/>
        <w:numPr>
          <w:ilvl w:val="0"/>
          <w:numId w:val="1001"/>
        </w:numPr>
      </w:pPr>
      <w:r>
        <w:t xml:space="preserve">Applied production AI practices across the full pipeline: data quality controls, privacy-by-design, prompt engineering, evaluation pipelines, and DevSecOps for global health research environments.</w:t>
      </w:r>
    </w:p>
    <w:p>
      <w:pPr>
        <w:pStyle w:val="Compact"/>
        <w:numPr>
          <w:ilvl w:val="0"/>
          <w:numId w:val="1001"/>
        </w:numPr>
      </w:pPr>
      <w:r>
        <w:t xml:space="preserve">Led cross-functional technical planning across research, engineering, and operations - translating epidemiology requirements into production AI systems adopted by partner institutions.</w:t>
      </w:r>
    </w:p>
    <w:p>
      <w:pPr>
        <w:pStyle w:val="Heading3"/>
      </w:pPr>
      <w:r>
        <w:t xml:space="preserve">Senior AI Solutions Consultant - Dura Digital</w:t>
      </w:r>
    </w:p>
    <w:p>
      <w:pPr>
        <w:pStyle w:val="FirstParagraph"/>
      </w:pPr>
      <w:r>
        <w:rPr>
          <w:i/>
          <w:iCs/>
        </w:rPr>
        <w:t xml:space="preserve">2025 - Current</w:t>
      </w:r>
      <w:r>
        <w:t xml:space="preserve"> </w:t>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p>
      <w:pPr>
        <w:pStyle w:val="Heading3"/>
      </w:pPr>
      <w:r>
        <w:t xml:space="preserve">Software Engineer II - Microsoft</w:t>
      </w:r>
    </w:p>
    <w:p>
      <w:pPr>
        <w:pStyle w:val="FirstParagraph"/>
      </w:pPr>
      <w:r>
        <w:rPr>
          <w:i/>
          <w:iCs/>
        </w:rPr>
        <w:t xml:space="preserve">2019 - 2025</w:t>
      </w:r>
      <w:r>
        <w:t xml:space="preserve"> </w:t>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Compact"/>
        <w:numPr>
          <w:ilvl w:val="0"/>
          <w:numId w:val="1004"/>
        </w:numPr>
      </w:pPr>
      <w:r>
        <w:t xml:space="preserve">Built secure, high-throughput cloud applications at Microsoft’s Core Platform Engineering Group: APIs and microservices, vulnerability mitigation, data privacy compliance, DevOps, and security hardening.</w:t>
      </w:r>
    </w:p>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Compact"/>
        <w:numPr>
          <w:ilvl w:val="0"/>
          <w:numId w:val="1005"/>
        </w:numPr>
      </w:pPr>
      <w:r>
        <w:t xml:space="preserve">Developed and tested web services and databases for financial data processing and royalty calculations: .NET, relational databases, message brokers, monitoring platforms, CI/CD, and on-call engineering support.</w:t>
      </w:r>
    </w:p>
    <w:p>
      <w:pPr>
        <w:pStyle w:val="Heading3"/>
      </w:pPr>
      <w:r>
        <w:t xml:space="preserve">Software Engineer in Test - iSoftStone Inc.</w:t>
      </w:r>
    </w:p>
    <w:p>
      <w:pPr>
        <w:pStyle w:val="FirstParagraph"/>
      </w:pPr>
      <w:r>
        <w:rPr>
          <w:i/>
          <w:iCs/>
        </w:rPr>
        <w:t xml:space="preserve">2007 - 2012</w:t>
      </w:r>
      <w:r>
        <w:t xml:space="preserve"> </w:t>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p>
      <w:pPr>
        <w:pStyle w:val="Heading2"/>
      </w:pPr>
      <w:r>
        <w:t xml:space="preserve">Education</w:t>
      </w:r>
    </w:p>
    <w:p>
      <w:pPr>
        <w:pStyle w:val="Heading3"/>
      </w:pPr>
      <w:r>
        <w:t xml:space="preserve">Bachelor of Science in Electronics Engineering</w:t>
      </w:r>
    </w:p>
    <w:p>
      <w:pPr>
        <w:pStyle w:val="FirstParagraph"/>
      </w:pPr>
      <w:r>
        <w:t xml:space="preserve">Universidad del Valle de Guatemala</w:t>
      </w:r>
    </w:p>
    <w:p>
      <w:pPr>
        <w:pStyle w:val="Heading2"/>
      </w:pPr>
      <w:r>
        <w:t xml:space="preserve">Certifications</w:t>
      </w:r>
    </w:p>
    <w:p>
      <w:pPr>
        <w:pStyle w:val="Compact"/>
        <w:numPr>
          <w:ilvl w:val="0"/>
          <w:numId w:val="1006"/>
        </w:numPr>
      </w:pPr>
      <w:r>
        <w:t xml:space="preserve">Agile Project Management, Google</w:t>
      </w:r>
    </w:p>
    <w:p>
      <w:pPr>
        <w:pStyle w:val="Compact"/>
        <w:numPr>
          <w:ilvl w:val="0"/>
          <w:numId w:val="1006"/>
        </w:numPr>
      </w:pPr>
      <w:r>
        <w:t xml:space="preserve">Azure Security Engineer Associate, Microsoft</w:t>
      </w:r>
    </w:p>
    <w:p>
      <w:pPr>
        <w:pStyle w:val="Compact"/>
        <w:numPr>
          <w:ilvl w:val="0"/>
          <w:numId w:val="1006"/>
        </w:numPr>
      </w:pPr>
      <w:r>
        <w:t xml:space="preserve">Solutions Architecture, University of Washington</w:t>
      </w:r>
    </w:p>
    <w:p>
      <w:pPr>
        <w:pStyle w:val="Compact"/>
        <w:numPr>
          <w:ilvl w:val="0"/>
          <w:numId w:val="1006"/>
        </w:numPr>
      </w:pPr>
      <w:r>
        <w:t xml:space="preserve">Telecommunications and Networks, America Movil</w:t>
      </w:r>
    </w:p>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2026-06-09T00:59:53Z</dcterms:created>
  <dcterms:modified xsi:type="dcterms:W3CDTF">2026-06-09T00:59:53Z</dcterms:modified>
</cp:coreProperties>
</file>

<file path=docProps/custom.xml><?xml version="1.0" encoding="utf-8"?>
<Properties xmlns="http://schemas.openxmlformats.org/officeDocument/2006/custom-properties" xmlns:vt="http://schemas.openxmlformats.org/officeDocument/2006/docPropsVTypes"/>
</file>