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Leadership:</w:t>
      </w:r>
      <w:r>
        <w:t xml:space="preserve"> </w:t>
      </w:r>
      <w:r>
        <w:t xml:space="preserve">Technical strategy ownership in ambiguous problem spaces; cross-functional alignment from engineering to executive stakeholders; mentorship and technical leveling of engineering teams.</w:t>
      </w:r>
    </w:p>
    <w:p>
      <w:pPr>
        <w:pStyle w:val="BodyText"/>
      </w:pPr>
      <w:r>
        <w:rPr>
          <w:b/>
          <w:bCs/>
        </w:rPr>
        <w:t xml:space="preserve">Communication:</w:t>
      </w:r>
      <w:r>
        <w:t xml:space="preserve"> </w:t>
      </w:r>
      <w:r>
        <w:t xml:space="preserve">Translating technical tradeoffs into clear recommendations for non-technical decision-makers; trusted advisor role in AI adoption for regulated domains; rapidly acquiring domain knowledge (epidemiology, global health) and translating it into production requirements.</w:t>
      </w:r>
    </w:p>
    <w:p>
      <w:pPr>
        <w:pStyle w:val="BodyText"/>
      </w:pPr>
      <w:r>
        <w:rPr>
          <w:b/>
          <w:bCs/>
        </w:rPr>
        <w:t xml:space="preserve">Professional:</w:t>
      </w:r>
      <w:r>
        <w:t xml:space="preserve"> </w:t>
      </w:r>
      <w:r>
        <w:t xml:space="preserve">Security-first mindset; responsible AI and data privacy focus; bias toward measurable outcomes over process.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p>
      <w:pPr>
        <w:pStyle w:val="Heading3"/>
      </w:pPr>
      <w:r>
        <w:t xml:space="preserve">Semantic Analysis Platform</w:t>
      </w:r>
    </w:p>
    <w:p>
      <w:pPr>
        <w:pStyle w:val="FirstParagraph"/>
      </w:pPr>
      <w:r>
        <w:rPr>
          <w:i/>
          <w:iCs/>
        </w:rPr>
        <w:t xml:space="preserve">2026 - Present</w:t>
      </w:r>
    </w:p>
    <w:p>
      <w:pPr>
        <w:pStyle w:val="BodyText"/>
      </w:pPr>
      <w:r>
        <w:t xml:space="preserve">Built a full-stack document intelligence platform for multi-source ingestion, semantic analysis, and knowledge mapping. FastAPI backend + React frontend; ingests URLs, PDFs, and text with automated AI suspicion and quality ratings post-ingest. LLM pipeline performs semantic chunking by logical section (chapter/article boundaries), extracts concept graphs per section, merges partial graphs with deduplication, and runs a consolidation pass for semantic synonym resolution, covering 100% of the document. Fact-check feature extracts verifiable claims, queries Perplexity, and feeds results back into the quality score. Three synchronized views (concept map, chat, document) over the same content, with bidirectional highlight and navigation between views.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2026-06-09T01:08:36Z</dcterms:created>
  <dcterms:modified xsi:type="dcterms:W3CDTF">2026-06-09T01:08:36Z</dcterms:modified>
</cp:coreProperties>
</file>

<file path=docProps/custom.xml><?xml version="1.0" encoding="utf-8"?>
<Properties xmlns="http://schemas.openxmlformats.org/officeDocument/2006/custom-properties" xmlns:vt="http://schemas.openxmlformats.org/officeDocument/2006/docPropsVTypes"/>
</file>