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10800" w:type="dxa"/>
        <w:tblBorders>
          <w:top w:val="nil"/>
          <w:left w:val="nil"/>
          <w:bottom w:val="nil"/>
          <w:right w:val="nil"/>
          <w:insideH w:val="nil"/>
          <w:insideV w:val="nil"/>
        </w:tblBorders>
        <w:tblCellMar>
          <w:top w:w="0" w:type="dxa"/>
          <w:left w:w="0" w:type="dxa"/>
          <w:bottom w:w="0" w:type="dxa"/>
          <w:right w:w="0" w:type="dxa"/>
        </w:tblCellMar>
        <w:tblLayout w:type="fixed"/>
      </w:tblPr>
      <w:tblGrid>
        <w:gridCol w:w="6300"/>
        <w:gridCol w:w="4500"/>
      </w:tblGrid>
      <w:tr>
        <w:tc>
          <w:tcPr>
            <w:tcW w:w="6300" w:type="dxa"/>
            <w:vAlign w:val="bottom"/>
          </w:tcPr>
          <w:p>
            <w:pPr>
              <w:pStyle w:val="Heading1"/>
              <w:spacing w:before="0" w:after="0"/>
            </w:pPr>
            <w:r>
              <w:t xml:space="preserve">Alejandro Echeverria</w:t>
            </w:r>
          </w:p>
          <w:p>
            <w:pPr>
              <w:spacing w:before="0" w:after="0"/>
            </w:pPr>
            <w:r>
              <w:rPr>
                <w:color w:val="595959"/>
              </w:rPr>
              <w:t xml:space="preserve">Senior Data and AI Solutions Engineer</w:t>
            </w:r>
          </w:p>
        </w:tc>
        <w:tc>
          <w:tcPr>
            <w:tcW w:w="4500" w:type="dxa"/>
            <w:vAlign w:val="bottom"/>
          </w:tcPr>
          <w:p>
            <w:pPr>
              <w:jc w:val="right"/>
              <w:spacing w:before="0" w:after="0"/>
            </w:pPr>
            <w:r>
              <w:fldChar w:fldCharType="begin"/>
            </w:r>
            <w:r>
              <w:instrText xml:space="preserve"> HYPERLINK "mailto:nablaservices@outlook.com" </w:instrText>
            </w:r>
            <w:r>
              <w:fldChar w:fldCharType="separate"/>
            </w:r>
            <w:r>
              <w:rPr>
                <w:rStyle w:val="Hyperlink"/>
                <w:sz w:val="22"/>
              </w:rPr>
              <w:t xml:space="preserve">nablaservices@outlook.com</w:t>
            </w:r>
            <w:r>
              <w:fldChar w:fldCharType="end"/>
            </w:r>
          </w:p>
          <w:p>
            <w:pPr>
              <w:jc w:val="right"/>
              <w:spacing w:before="0" w:after="0"/>
            </w:pPr>
            <w:r>
              <w:fldChar w:fldCharType="begin"/>
            </w:r>
            <w:r>
              <w:instrText xml:space="preserve"> HYPERLINK "https://linkedin.com/in/cuete" </w:instrText>
            </w:r>
            <w:r>
              <w:fldChar w:fldCharType="separate"/>
            </w:r>
            <w:r>
              <w:rPr>
                <w:rStyle w:val="Hyperlink"/>
                <w:sz w:val="22"/>
              </w:rPr>
              <w:t xml:space="preserve">https://linkedin.com/in/cuete</w:t>
            </w:r>
            <w:r>
              <w:fldChar w:fldCharType="end"/>
            </w:r>
          </w:p>
          <w:p>
            <w:pPr>
              <w:jc w:val="right"/>
              <w:spacing w:before="0" w:after="0"/>
            </w:pPr>
            <w:r>
              <w:fldChar w:fldCharType="begin"/>
            </w:r>
            <w:r>
              <w:instrText xml:space="preserve"> HYPERLINK "https://github.com/cuete" </w:instrText>
            </w:r>
            <w:r>
              <w:fldChar w:fldCharType="separate"/>
            </w:r>
            <w:r>
              <w:rPr>
                <w:rStyle w:val="Hyperlink"/>
                <w:sz w:val="22"/>
              </w:rPr>
              <w:t xml:space="preserve">https://github.com/cuete</w:t>
            </w:r>
            <w:r>
              <w:fldChar w:fldCharType="end"/>
            </w:r>
          </w:p>
        </w:tc>
      </w:tr>
    </w:tbl>
    <w:bookmarkStart w:id="9" w:name="professional-summary"/>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research and business requirements into scalable, secure, and measurable outcomes. Experience spans global health research, enterprise software at Microsoft, and AI consulting for healthcare and finance.</w:t>
      </w:r>
    </w:p>
    <w:bookmarkEnd w:id="9"/>
    <w:bookmarkStart w:id="10" w:name="technical-skills"/>
    <w:p>
      <w:pPr>
        <w:pStyle w:val="Heading2"/>
      </w:pPr>
      <w:r>
        <w:t xml:space="preserve">Technical Skills</w:t>
      </w:r>
    </w:p>
    <w:p>
      <w:pPr>
        <w:pStyle w:val="FirstParagraph"/>
      </w:pPr>
      <w:r>
        <w:rPr>
          <w:b/>
          <w:bCs/>
        </w:rPr>
        <w:t xml:space="preserve">AI &amp; ML:</w:t>
      </w:r>
      <w:r>
        <w:t xml:space="preserve"> </w:t>
      </w:r>
      <w:r>
        <w:t xml:space="preserve">LLMs, AI agents, multi-agent systems, RAG, intelligent automation; OpenAI SDK, Anthropic Claude SDK, Azure OpenAI, Azure AI Foundry; LangChain, LangGraph; local LLMs for prototyping; Databricks; prompt, context, and token optimization (FinOps for AI); model selection, evaluation, and A/B testing; AI guardrails and Responsible AI practices.</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0"/>
    <w:bookmarkStart w:id="11" w:name="soft-skills"/>
    <w:p>
      <w:pPr>
        <w:pStyle w:val="Heading2"/>
      </w:pPr>
      <w:r>
        <w:t xml:space="preserve">Soft Skills</w:t>
      </w:r>
    </w:p>
    <w:p>
      <w:pPr>
        <w:pStyle w:val="FirstParagraph"/>
      </w:pPr>
      <w:r>
        <w:rPr>
          <w:b/>
          <w:bCs/>
        </w:rPr>
        <w:t xml:space="preserve">Delivery &amp; Leadership:</w:t>
      </w:r>
      <w:r>
        <w:t xml:space="preserve"> </w:t>
      </w:r>
      <w:r>
        <w:t xml:space="preserve">Technical strategy and roadmap ownership across ambiguous, high-stakes problem spaces; cross-functional alignment from engineering to executive stakeholders; mentorship and technical leveling of engineering teams.</w:t>
      </w:r>
    </w:p>
    <w:p>
      <w:pPr>
        <w:pStyle w:val="BodyText"/>
      </w:pPr>
      <w:r>
        <w:rPr>
          <w:b/>
          <w:bCs/>
        </w:rPr>
        <w:t xml:space="preserve">Communication &amp; Influence:</w:t>
      </w:r>
      <w:r>
        <w:t xml:space="preserve"> </w:t>
      </w:r>
      <w:r>
        <w:t xml:space="preserve">Translating complex technical tradeoffs into clear recommendations for non-technical decision-makers; driving consensus across research, engineering, and operations; trusted advisor role in AI adoption for regulated domains; embedding with domain experts (epidemiology, global health) to rapidly acquire working knowledge and translate it into production technical requirements.</w:t>
      </w:r>
    </w:p>
    <w:p>
      <w:pPr>
        <w:pStyle w:val="BodyText"/>
      </w:pPr>
      <w:r>
        <w:rPr>
          <w:b/>
          <w:bCs/>
        </w:rPr>
        <w:t xml:space="preserve">Professional:</w:t>
      </w:r>
      <w:r>
        <w:t xml:space="preserve"> </w:t>
      </w:r>
      <w:r>
        <w:t xml:space="preserve">Security-first mindset with focus on data privacy and responsible AI; bias toward measurable outcomes over process; continuous investment in emerging AI and data engineering practices.</w:t>
      </w:r>
    </w:p>
    <w:bookmarkEnd w:id="11"/>
    <w:bookmarkStart w:id="18" w:name="professional-experience"/>
    <w:p>
      <w:pPr>
        <w:pStyle w:val="Heading2"/>
      </w:pPr>
      <w:r>
        <w:t xml:space="preserve">Professional Experience</w:t>
      </w:r>
    </w:p>
    <w:bookmarkStart w:id="12" w:name="X5cc0cccb172865010750096e6e26d22e76e32f0"/>
    <w:p>
      <w:pPr>
        <w:pStyle w:val="Heading3"/>
      </w:pPr>
      <w:r>
        <w:t xml:space="preserve">Senior Software Engineer (Data and Statistical Modeling) – Gates Foundation</w:t>
      </w:r>
    </w:p>
    <w:p>
      <w:pPr>
        <w:pStyle w:val="FirstParagraph"/>
      </w:pPr>
      <w:r>
        <w:rPr>
          <w:i/>
          <w:iCs/>
        </w:rPr>
        <w:t xml:space="preserve">2025 – Current</w:t>
      </w:r>
      <w:r>
        <w:br/>
      </w:r>
      <w:r>
        <w:rPr>
          <w:i/>
          <w:iCs/>
        </w:rPr>
        <w:t xml:space="preserve">Seattle, WA</w:t>
      </w:r>
    </w:p>
    <w:p>
      <w:pPr>
        <w:pStyle w:val="Compact"/>
        <w:numPr>
          <w:ilvl w:val="0"/>
          <w:numId w:val="1001"/>
        </w:numPr>
      </w:pPr>
      <w:r>
        <w:t xml:space="preserve">Architected AI-powered epidemiology dashboards deployed for national malaria eradication programs in Nigeria, Senegal, and Benin — surfacing key disease indicators, intervention cost-effectiveness, and national strategy scenario simulations used by health ministries and research partners to drive data-informed policy decisions.</w:t>
      </w:r>
    </w:p>
    <w:p>
      <w:pPr>
        <w:pStyle w:val="Compact"/>
        <w:numPr>
          <w:ilvl w:val="0"/>
          <w:numId w:val="1001"/>
        </w:numPr>
      </w:pPr>
      <w:r>
        <w:t xml:space="preserve">Built end-to-end data pipelines from epidemiology and disease simulation outputs to interactive decision-support visualizations, enabling IDM researchers and partner institutions to model intervention scenarios and project outcomes of national eradication strategies.</w:t>
      </w:r>
    </w:p>
    <w:p>
      <w:pPr>
        <w:pStyle w:val="Compact"/>
        <w:numPr>
          <w:ilvl w:val="0"/>
          <w:numId w:val="1001"/>
        </w:numPr>
      </w:pPr>
      <w:r>
        <w:t xml:space="preserve">Applied production AI practices across the research-to-deployment pipeline: data quality controls, privacy-by-design, prompt engineering, evaluation pipelines, and DevSecOps (CI/CD, automated security reviews) for global health research environments.</w:t>
      </w:r>
    </w:p>
    <w:p>
      <w:pPr>
        <w:pStyle w:val="Compact"/>
        <w:numPr>
          <w:ilvl w:val="0"/>
          <w:numId w:val="1001"/>
        </w:numPr>
      </w:pPr>
      <w:r>
        <w:t xml:space="preserve">Led technical planning and cross-functional alignment across research, engineering, and operations — translating complex epidemiology requirements into production-grade AI systems with direct adoption by partner institutions.</w:t>
      </w:r>
    </w:p>
    <w:bookmarkEnd w:id="12"/>
    <w:bookmarkStart w:id="13" w:name="Xa5c16034768f43966e4563930b4e2617e65d32b"/>
    <w:p>
      <w:pPr>
        <w:pStyle w:val="Heading3"/>
      </w:pPr>
      <w:r>
        <w:t xml:space="preserve">Senior AI Solutions Consultant – Dura Digital</w:t>
      </w:r>
    </w:p>
    <w:p>
      <w:pPr>
        <w:pStyle w:val="FirstParagraph"/>
      </w:pPr>
      <w:r>
        <w:rPr>
          <w:i/>
          <w:iCs/>
        </w:rPr>
        <w:t xml:space="preserve">2025 – Current</w:t>
      </w:r>
      <w:r>
        <w:br/>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bookmarkEnd w:id="13"/>
    <w:bookmarkStart w:id="14" w:name="software-engineer-ii-microsoft"/>
    <w:p>
      <w:pPr>
        <w:pStyle w:val="Heading3"/>
      </w:pPr>
      <w:r>
        <w:t xml:space="preserve">Software Engineer II – Microsoft</w:t>
      </w:r>
    </w:p>
    <w:p>
      <w:pPr>
        <w:pStyle w:val="FirstParagraph"/>
      </w:pPr>
      <w:r>
        <w:rPr>
          <w:i/>
          <w:iCs/>
        </w:rPr>
        <w:t xml:space="preserve">2019 – 2025</w:t>
      </w:r>
      <w:r>
        <w:br/>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bookmarkEnd w:id="14"/>
    <w:bookmarkStart w:id="15" w:name="X38924617e4cf1fe11e1de1378b9ae19fccf2db2"/>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bookmarkEnd w:id="15"/>
    <w:bookmarkStart w:id="16" w:name="software-engineer---getty-images"/>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16"/>
    <w:bookmarkStart w:id="17" w:name="X3d8dd5588cd264e0a83aaa77526a1bb34805905"/>
    <w:p>
      <w:pPr>
        <w:pStyle w:val="Heading3"/>
      </w:pPr>
      <w:r>
        <w:t xml:space="preserve">Software Engineer in Test - iSoftStone Inc.</w:t>
      </w:r>
    </w:p>
    <w:p>
      <w:pPr>
        <w:pStyle w:val="FirstParagraph"/>
      </w:pPr>
      <w:r>
        <w:rPr>
          <w:i/>
          <w:iCs/>
        </w:rPr>
        <w:t xml:space="preserve">2007 – 2012</w:t>
      </w:r>
      <w:r>
        <w:br/>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bookmarkEnd w:id="17"/>
    <w:bookmarkEnd w:id="18"/>
    <w:bookmarkStart w:id="20" w:name="education"/>
    <w:p>
      <w:pPr>
        <w:pStyle w:val="Heading2"/>
      </w:pPr>
      <w:r>
        <w:t xml:space="preserve">Education</w:t>
      </w:r>
    </w:p>
    <w:bookmarkStart w:id="19" w:name="X7b95d8729012f59fd715cc6ccfd4ef5013598cc"/>
    <w:p>
      <w:pPr>
        <w:pStyle w:val="Heading3"/>
      </w:pPr>
      <w:r>
        <w:t xml:space="preserve">Bachelor of Science in Electronics Engineering</w:t>
      </w:r>
    </w:p>
    <w:p>
      <w:pPr>
        <w:pStyle w:val="FirstParagraph"/>
      </w:pPr>
      <w:r>
        <w:t xml:space="preserve">Universidad del Valle de Guatemala</w:t>
      </w:r>
    </w:p>
    <w:bookmarkEnd w:id="19"/>
    <w:bookmarkEnd w:id="20"/>
    <w:bookmarkStart w:id="21" w:name="certifications"/>
    <w:p>
      <w:pPr>
        <w:pStyle w:val="Heading2"/>
      </w:pPr>
      <w:r>
        <w:t xml:space="preserve">Certifications</w:t>
      </w:r>
    </w:p>
    <w:p>
      <w:pPr>
        <w:pStyle w:val="Compact"/>
        <w:numPr>
          <w:ilvl w:val="0"/>
          <w:numId w:val="1004"/>
        </w:numPr>
      </w:pPr>
      <w:r>
        <w:t xml:space="preserve">Agile Project Management, Google</w:t>
      </w:r>
    </w:p>
    <w:p>
      <w:pPr>
        <w:pStyle w:val="Compact"/>
        <w:numPr>
          <w:ilvl w:val="0"/>
          <w:numId w:val="1004"/>
        </w:numPr>
      </w:pPr>
      <w:r>
        <w:t xml:space="preserve">Azure Security Engineer Associate, Microsoft</w:t>
      </w:r>
    </w:p>
    <w:p>
      <w:pPr>
        <w:pStyle w:val="Compact"/>
        <w:numPr>
          <w:ilvl w:val="0"/>
          <w:numId w:val="1004"/>
        </w:numPr>
      </w:pPr>
      <w:r>
        <w:t xml:space="preserve">Solutions Architecture, University of Washington</w:t>
      </w:r>
    </w:p>
    <w:p>
      <w:pPr>
        <w:pStyle w:val="Compact"/>
        <w:numPr>
          <w:ilvl w:val="0"/>
          <w:numId w:val="1004"/>
        </w:numPr>
      </w:pPr>
      <w:r>
        <w:t xml:space="preserve">Telecommunications and Networks, America Movil</w:t>
      </w:r>
    </w:p>
    <w:bookmarkEnd w:id="21"/>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2026-06-05T22:03:23Z</dcterms:created>
  <dcterms:modified xsi:type="dcterms:W3CDTF">2026-06-05T22:03:23Z</dcterms:modified>
</cp:coreProperties>
</file>

<file path=docProps/custom.xml><?xml version="1.0" encoding="utf-8"?>
<Properties xmlns="http://schemas.openxmlformats.org/officeDocument/2006/custom-properties" xmlns:vt="http://schemas.openxmlformats.org/officeDocument/2006/docPropsVTypes"/>
</file>