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sz w:val="28"/>
          <w:szCs w:val="28"/>
        </w:rPr>
      </w:pPr>
      <w:r>
        <w:rPr>
          <w:rFonts w:ascii="黑体" w:hAnsi="黑体" w:eastAsia="黑体" w:cs="黑体"/>
          <w:b/>
          <w:sz w:val="28"/>
          <w:szCs w:val="28"/>
        </w:rPr>
        <w:t>第</w:t>
      </w:r>
      <w:r>
        <w:rPr>
          <w:rFonts w:hint="eastAsia" w:ascii="黑体" w:hAnsi="黑体" w:eastAsia="黑体" w:cs="黑体"/>
          <w:b/>
          <w:sz w:val="28"/>
          <w:szCs w:val="28"/>
        </w:rPr>
        <w:t>十一章</w:t>
      </w:r>
      <w:r>
        <w:rPr>
          <w:rFonts w:ascii="黑体" w:hAnsi="黑体" w:eastAsia="黑体" w:cs="黑体"/>
          <w:b/>
          <w:sz w:val="28"/>
          <w:szCs w:val="28"/>
        </w:rPr>
        <w:t xml:space="preserve"> </w:t>
      </w:r>
      <w:r>
        <w:rPr>
          <w:rFonts w:hint="eastAsia" w:ascii="黑体" w:hAnsi="黑体" w:eastAsia="黑体" w:cs="黑体"/>
          <w:b/>
          <w:sz w:val="28"/>
          <w:szCs w:val="28"/>
        </w:rPr>
        <w:t>“四个全面”战略布局</w:t>
      </w:r>
    </w:p>
    <w:p>
      <w:pPr>
        <w:jc w:val="center"/>
        <w:rPr>
          <w:rFonts w:hint="eastAsia" w:ascii="黑体" w:hAnsi="黑体" w:eastAsia="黑体" w:cs="黑体"/>
          <w:b/>
          <w:sz w:val="28"/>
          <w:szCs w:val="28"/>
        </w:rPr>
      </w:pPr>
      <w:r>
        <w:rPr>
          <w:rFonts w:hint="eastAsia" w:ascii="黑体" w:hAnsi="黑体" w:eastAsia="黑体" w:cs="黑体"/>
          <w:b/>
          <w:sz w:val="28"/>
          <w:szCs w:val="28"/>
        </w:rPr>
        <w:t>第三节 全面依法治国</w:t>
      </w:r>
    </w:p>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试题参考答案</w:t>
      </w:r>
    </w:p>
    <w:p>
      <w:pPr>
        <w:jc w:val="center"/>
        <w:rPr>
          <w:rFonts w:hint="eastAsia" w:ascii="黑体" w:hAnsi="黑体" w:eastAsia="黑体" w:cs="黑体"/>
          <w:b/>
          <w:sz w:val="28"/>
          <w:szCs w:val="28"/>
        </w:rPr>
      </w:pPr>
      <w:bookmarkStart w:id="0" w:name="_GoBack"/>
      <w:bookmarkEnd w:id="0"/>
    </w:p>
    <w:p>
      <w:pPr>
        <w:jc w:val="left"/>
        <w:rPr>
          <w:b/>
          <w:bCs/>
          <w:sz w:val="24"/>
        </w:rPr>
      </w:pPr>
      <w:r>
        <w:rPr>
          <w:b/>
          <w:bCs/>
          <w:sz w:val="24"/>
        </w:rPr>
        <w:t>一、单项选择题</w:t>
      </w:r>
    </w:p>
    <w:p>
      <w:pPr>
        <w:jc w:val="left"/>
        <w:rPr>
          <w:sz w:val="24"/>
        </w:rPr>
      </w:pPr>
      <w:r>
        <w:rPr>
          <w:sz w:val="24"/>
        </w:rPr>
        <w:t>1.B</w:t>
      </w:r>
      <w:r>
        <w:rPr>
          <w:rFonts w:hint="eastAsia"/>
          <w:sz w:val="24"/>
        </w:rPr>
        <w:t xml:space="preserve">      </w:t>
      </w:r>
      <w:r>
        <w:rPr>
          <w:sz w:val="24"/>
        </w:rPr>
        <w:t>2.A</w:t>
      </w:r>
      <w:r>
        <w:rPr>
          <w:rFonts w:hint="eastAsia"/>
          <w:sz w:val="24"/>
        </w:rPr>
        <w:t xml:space="preserve">     3.B      4.C     5.D</w:t>
      </w:r>
    </w:p>
    <w:p>
      <w:pPr>
        <w:numPr>
          <w:ilvl w:val="0"/>
          <w:numId w:val="1"/>
        </w:numPr>
        <w:jc w:val="left"/>
        <w:rPr>
          <w:b/>
          <w:bCs/>
        </w:rPr>
      </w:pPr>
      <w:r>
        <w:rPr>
          <w:b/>
          <w:bCs/>
        </w:rPr>
        <w:t>多项选择题</w:t>
      </w:r>
    </w:p>
    <w:p>
      <w:pPr>
        <w:numPr>
          <w:ilvl w:val="0"/>
          <w:numId w:val="2"/>
        </w:numPr>
        <w:jc w:val="left"/>
        <w:rPr>
          <w:b/>
          <w:bCs/>
        </w:rPr>
      </w:pPr>
      <w:r>
        <w:rPr>
          <w:rFonts w:hint="eastAsia"/>
          <w:b/>
          <w:bCs/>
        </w:rPr>
        <w:t>A</w:t>
      </w:r>
      <w:r>
        <w:rPr>
          <w:b/>
          <w:bCs/>
        </w:rPr>
        <w:t xml:space="preserve">BCD  </w:t>
      </w:r>
    </w:p>
    <w:p>
      <w:pPr>
        <w:numPr>
          <w:ilvl w:val="0"/>
          <w:numId w:val="2"/>
        </w:numPr>
        <w:jc w:val="left"/>
        <w:rPr>
          <w:b/>
          <w:bCs/>
        </w:rPr>
      </w:pPr>
      <w:r>
        <w:rPr>
          <w:b/>
          <w:bCs/>
        </w:rPr>
        <w:t xml:space="preserve">AC   </w:t>
      </w:r>
    </w:p>
    <w:p>
      <w:pPr>
        <w:numPr>
          <w:ilvl w:val="0"/>
          <w:numId w:val="2"/>
        </w:numPr>
        <w:jc w:val="left"/>
        <w:rPr>
          <w:b/>
          <w:bCs/>
        </w:rPr>
      </w:pPr>
      <w:r>
        <w:rPr>
          <w:b/>
          <w:bCs/>
        </w:rPr>
        <w:t>A</w:t>
      </w:r>
      <w:r>
        <w:rPr>
          <w:rFonts w:hint="eastAsia"/>
          <w:b/>
          <w:bCs/>
        </w:rPr>
        <w:t>D</w:t>
      </w:r>
      <w:r>
        <w:rPr>
          <w:b/>
          <w:bCs/>
        </w:rPr>
        <w:t xml:space="preserve">  </w:t>
      </w:r>
    </w:p>
    <w:p>
      <w:pPr>
        <w:numPr>
          <w:ilvl w:val="0"/>
          <w:numId w:val="2"/>
        </w:numPr>
        <w:jc w:val="left"/>
        <w:rPr>
          <w:b/>
          <w:bCs/>
        </w:rPr>
      </w:pPr>
      <w:r>
        <w:rPr>
          <w:b/>
          <w:bCs/>
        </w:rPr>
        <w:t>A</w:t>
      </w:r>
      <w:r>
        <w:rPr>
          <w:rFonts w:hint="eastAsia"/>
          <w:b/>
          <w:bCs/>
        </w:rPr>
        <w:t>B</w:t>
      </w:r>
      <w:r>
        <w:rPr>
          <w:b/>
          <w:bCs/>
        </w:rPr>
        <w:t>CD</w:t>
      </w:r>
    </w:p>
    <w:p>
      <w:pPr>
        <w:jc w:val="left"/>
        <w:rPr>
          <w:b/>
          <w:bCs/>
          <w:sz w:val="24"/>
        </w:rPr>
      </w:pPr>
      <w:r>
        <w:rPr>
          <w:rFonts w:hint="eastAsia"/>
          <w:b/>
          <w:bCs/>
          <w:sz w:val="24"/>
          <w:lang w:val="en-US" w:eastAsia="zh-CN"/>
        </w:rPr>
        <w:t>三</w:t>
      </w:r>
      <w:r>
        <w:rPr>
          <w:b/>
          <w:bCs/>
          <w:sz w:val="24"/>
        </w:rPr>
        <w:t>、</w:t>
      </w:r>
      <w:r>
        <w:rPr>
          <w:rFonts w:hint="eastAsia"/>
          <w:b/>
          <w:bCs/>
          <w:sz w:val="24"/>
        </w:rPr>
        <w:t>简答题</w:t>
      </w:r>
    </w:p>
    <w:p>
      <w:pPr>
        <w:jc w:val="left"/>
      </w:pPr>
      <w:r>
        <w:t>1</w:t>
      </w:r>
      <w:r>
        <w:rPr>
          <w:rFonts w:hint="eastAsia"/>
        </w:rPr>
        <w:t>.简述如何深化依法治国实践。</w:t>
      </w:r>
    </w:p>
    <w:p>
      <w:pPr>
        <w:jc w:val="left"/>
      </w:pPr>
      <w:r>
        <w:rPr>
          <w:rFonts w:hint="eastAsia"/>
        </w:rPr>
        <w:t>全面依法治国，总目标是建设中国特色社会主义法治体系，建设社会主义法治国家。深化依法治国实践，必须坚持以习近平法治思想为指导，做到以下几点。</w:t>
      </w:r>
    </w:p>
    <w:p>
      <w:pPr>
        <w:jc w:val="left"/>
      </w:pPr>
      <w:r>
        <w:rPr>
          <w:rFonts w:hint="eastAsia"/>
        </w:rPr>
        <w:t>第一，紧紧围绕全面推进依法治国总目标，加快建设中国特色社会主义法治体系。</w:t>
      </w:r>
    </w:p>
    <w:p>
      <w:pPr>
        <w:jc w:val="left"/>
      </w:pPr>
      <w:r>
        <w:t>第二</w:t>
      </w:r>
      <w:r>
        <w:rPr>
          <w:rFonts w:hint="eastAsia"/>
        </w:rPr>
        <w:t>，准确把握全面推进依法治国工作布局，坚持依法治国、依法执政、依法行政共同推进，坚持法治国家、法治政府、法治社会一体建设。</w:t>
      </w:r>
    </w:p>
    <w:p>
      <w:pPr>
        <w:jc w:val="left"/>
      </w:pPr>
      <w:r>
        <w:rPr>
          <w:rFonts w:hint="eastAsia"/>
        </w:rPr>
        <w:t>第三，准确把握全面推进依法治国重点任务，着力推进科学立法、严格执法、公正司法、全民守法。</w:t>
      </w:r>
    </w:p>
    <w:p>
      <w:pPr>
        <w:jc w:val="left"/>
        <w:rPr>
          <w:rFonts w:hint="eastAsia"/>
        </w:rPr>
      </w:pPr>
      <w:r>
        <w:t>2</w:t>
      </w:r>
      <w:r>
        <w:rPr>
          <w:rFonts w:hint="eastAsia"/>
        </w:rPr>
        <w:t>.简述习近平法治思想内容</w:t>
      </w:r>
    </w:p>
    <w:p>
      <w:pPr>
        <w:jc w:val="left"/>
        <w:rPr>
          <w:rFonts w:hint="eastAsia"/>
        </w:rPr>
      </w:pPr>
      <w:r>
        <w:rPr>
          <w:rFonts w:hint="eastAsia"/>
        </w:rPr>
        <w:t>党的十八大以来，以习近平同志为核心的党中央从坚持和发展中国特色社会主义的全局和战略高度定位法治、布局法治、厉行法治，把全面依法治国纳入“四个全面”战略布局，创造性地提出了全面依法治国的一系列新理念新思想新战略，形成了习近平法治思想。习近平法治思想内涵丰富、论述深刻、逻辑严密、系统完备，其内容主要包括以下几个方面。</w:t>
      </w:r>
    </w:p>
    <w:p>
      <w:pPr>
        <w:jc w:val="left"/>
        <w:rPr>
          <w:rFonts w:hint="eastAsia"/>
        </w:rPr>
      </w:pPr>
      <w:r>
        <w:rPr>
          <w:rFonts w:hint="eastAsia"/>
        </w:rPr>
        <w:t>党的领导是推进全面依法治国的根本保证。</w:t>
      </w:r>
    </w:p>
    <w:p>
      <w:pPr>
        <w:jc w:val="left"/>
        <w:rPr>
          <w:rFonts w:hint="eastAsia"/>
        </w:rPr>
      </w:pPr>
      <w:r>
        <w:rPr>
          <w:rFonts w:hint="eastAsia"/>
        </w:rPr>
        <w:t>坚持以人民为中心。</w:t>
      </w:r>
    </w:p>
    <w:p>
      <w:pPr>
        <w:jc w:val="left"/>
        <w:rPr>
          <w:rFonts w:hint="eastAsia"/>
        </w:rPr>
      </w:pPr>
      <w:r>
        <w:rPr>
          <w:rFonts w:hint="eastAsia"/>
        </w:rPr>
        <w:t>坚持中国特色社会主义法治道路。</w:t>
      </w:r>
    </w:p>
    <w:p>
      <w:pPr>
        <w:jc w:val="left"/>
        <w:rPr>
          <w:rFonts w:hint="eastAsia"/>
        </w:rPr>
      </w:pPr>
      <w:r>
        <w:rPr>
          <w:rFonts w:hint="eastAsia"/>
        </w:rPr>
        <w:t>坚持依宪治国、依宪执政。</w:t>
      </w:r>
    </w:p>
    <w:p>
      <w:pPr>
        <w:jc w:val="left"/>
        <w:rPr>
          <w:rFonts w:hint="eastAsia"/>
        </w:rPr>
      </w:pPr>
      <w:r>
        <w:rPr>
          <w:rFonts w:hint="eastAsia"/>
        </w:rPr>
        <w:t>坚持在法治轨道上推进国家治理体系和治理能力现代化。</w:t>
      </w:r>
    </w:p>
    <w:p>
      <w:pPr>
        <w:jc w:val="left"/>
        <w:rPr>
          <w:rFonts w:hint="eastAsia"/>
        </w:rPr>
      </w:pPr>
      <w:r>
        <w:rPr>
          <w:rFonts w:hint="eastAsia"/>
        </w:rPr>
        <w:t>坚持建设中国特色社会主义法治体系。</w:t>
      </w:r>
    </w:p>
    <w:p>
      <w:pPr>
        <w:jc w:val="left"/>
        <w:rPr>
          <w:rFonts w:hint="eastAsia"/>
        </w:rPr>
      </w:pPr>
      <w:r>
        <w:rPr>
          <w:rFonts w:hint="eastAsia"/>
        </w:rPr>
        <w:t>坚持依法治国、依法执政、依法行政共同推进，法治国家、法治政府、法治社会一体建设。</w:t>
      </w:r>
    </w:p>
    <w:p>
      <w:pPr>
        <w:jc w:val="left"/>
        <w:rPr>
          <w:rFonts w:hint="eastAsia"/>
        </w:rPr>
      </w:pPr>
      <w:r>
        <w:rPr>
          <w:rFonts w:hint="eastAsia"/>
        </w:rPr>
        <w:t>坚持全面推进科学立法、严格执法、公正司法、全民守法。</w:t>
      </w:r>
    </w:p>
    <w:p>
      <w:pPr>
        <w:jc w:val="left"/>
        <w:rPr>
          <w:rFonts w:hint="eastAsia"/>
        </w:rPr>
      </w:pPr>
      <w:r>
        <w:rPr>
          <w:rFonts w:hint="eastAsia"/>
        </w:rPr>
        <w:t>坚持统筹推进国内法治和涉外法治。</w:t>
      </w:r>
    </w:p>
    <w:p>
      <w:pPr>
        <w:jc w:val="left"/>
        <w:rPr>
          <w:rFonts w:hint="eastAsia"/>
        </w:rPr>
      </w:pPr>
      <w:r>
        <w:rPr>
          <w:rFonts w:hint="eastAsia"/>
        </w:rPr>
        <w:t>坚持建设德才兼备的高素质法治工作队伍。</w:t>
      </w:r>
    </w:p>
    <w:p>
      <w:pPr>
        <w:jc w:val="left"/>
        <w:rPr>
          <w:rFonts w:hint="eastAsia"/>
        </w:rPr>
      </w:pPr>
      <w:r>
        <w:rPr>
          <w:rFonts w:hint="eastAsia"/>
        </w:rPr>
        <w:t>坚持抓住领导干部这个“关键少数”。</w:t>
      </w:r>
    </w:p>
    <w:p>
      <w:pPr>
        <w:jc w:val="left"/>
      </w:pPr>
    </w:p>
    <w:p>
      <w:pPr>
        <w:ind w:firstLine="525" w:firstLineChars="250"/>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CFA87"/>
    <w:multiLevelType w:val="singleLevel"/>
    <w:tmpl w:val="5E3CFA87"/>
    <w:lvl w:ilvl="0" w:tentative="0">
      <w:start w:val="2"/>
      <w:numFmt w:val="chineseCounting"/>
      <w:suff w:val="nothing"/>
      <w:lvlText w:val="%1、"/>
      <w:lvlJc w:val="left"/>
    </w:lvl>
  </w:abstractNum>
  <w:abstractNum w:abstractNumId="1">
    <w:nsid w:val="5E3CFB26"/>
    <w:multiLevelType w:val="singleLevel"/>
    <w:tmpl w:val="5E3CFB2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CA0"/>
    <w:rsid w:val="00025B93"/>
    <w:rsid w:val="000A1666"/>
    <w:rsid w:val="000A3370"/>
    <w:rsid w:val="00113F9D"/>
    <w:rsid w:val="00124D50"/>
    <w:rsid w:val="00125C9D"/>
    <w:rsid w:val="0014286B"/>
    <w:rsid w:val="00173CB6"/>
    <w:rsid w:val="001D0008"/>
    <w:rsid w:val="001E1F68"/>
    <w:rsid w:val="001E7302"/>
    <w:rsid w:val="001F06E1"/>
    <w:rsid w:val="00201BB5"/>
    <w:rsid w:val="00263988"/>
    <w:rsid w:val="00267818"/>
    <w:rsid w:val="00276CA0"/>
    <w:rsid w:val="002A7366"/>
    <w:rsid w:val="002C0938"/>
    <w:rsid w:val="003324B9"/>
    <w:rsid w:val="003508A6"/>
    <w:rsid w:val="00397A01"/>
    <w:rsid w:val="003A5E28"/>
    <w:rsid w:val="003A7009"/>
    <w:rsid w:val="003C74B1"/>
    <w:rsid w:val="003F443A"/>
    <w:rsid w:val="0041547B"/>
    <w:rsid w:val="00432612"/>
    <w:rsid w:val="004426A1"/>
    <w:rsid w:val="00445E2D"/>
    <w:rsid w:val="00471FC8"/>
    <w:rsid w:val="004F3A8C"/>
    <w:rsid w:val="00513702"/>
    <w:rsid w:val="0054174F"/>
    <w:rsid w:val="00541776"/>
    <w:rsid w:val="00581D3D"/>
    <w:rsid w:val="005B108C"/>
    <w:rsid w:val="005B1CC3"/>
    <w:rsid w:val="005F1E9E"/>
    <w:rsid w:val="00614F25"/>
    <w:rsid w:val="006A4B6E"/>
    <w:rsid w:val="006E6D68"/>
    <w:rsid w:val="00700585"/>
    <w:rsid w:val="007014AD"/>
    <w:rsid w:val="00744D06"/>
    <w:rsid w:val="00773C91"/>
    <w:rsid w:val="00777AF8"/>
    <w:rsid w:val="007B11F0"/>
    <w:rsid w:val="007D49B1"/>
    <w:rsid w:val="00811E76"/>
    <w:rsid w:val="00823184"/>
    <w:rsid w:val="00827AA3"/>
    <w:rsid w:val="00874669"/>
    <w:rsid w:val="00890AF6"/>
    <w:rsid w:val="008A3AC6"/>
    <w:rsid w:val="008E206D"/>
    <w:rsid w:val="00930E35"/>
    <w:rsid w:val="009427A7"/>
    <w:rsid w:val="009621AE"/>
    <w:rsid w:val="00985FED"/>
    <w:rsid w:val="009A27D2"/>
    <w:rsid w:val="009B6288"/>
    <w:rsid w:val="009C424A"/>
    <w:rsid w:val="009F3582"/>
    <w:rsid w:val="00A02C0C"/>
    <w:rsid w:val="00A418B0"/>
    <w:rsid w:val="00A814E2"/>
    <w:rsid w:val="00AB53D7"/>
    <w:rsid w:val="00AE5F57"/>
    <w:rsid w:val="00AF2B49"/>
    <w:rsid w:val="00B03E94"/>
    <w:rsid w:val="00B17396"/>
    <w:rsid w:val="00B25E07"/>
    <w:rsid w:val="00B30918"/>
    <w:rsid w:val="00B42AA1"/>
    <w:rsid w:val="00B5116C"/>
    <w:rsid w:val="00B90D23"/>
    <w:rsid w:val="00C01602"/>
    <w:rsid w:val="00C7687A"/>
    <w:rsid w:val="00C866F2"/>
    <w:rsid w:val="00CC64D0"/>
    <w:rsid w:val="00CC650D"/>
    <w:rsid w:val="00D24293"/>
    <w:rsid w:val="00D36722"/>
    <w:rsid w:val="00D5230D"/>
    <w:rsid w:val="00D57604"/>
    <w:rsid w:val="00DC0339"/>
    <w:rsid w:val="00DF575E"/>
    <w:rsid w:val="00EA4AC4"/>
    <w:rsid w:val="00EA5006"/>
    <w:rsid w:val="00EB4AB8"/>
    <w:rsid w:val="00EC646F"/>
    <w:rsid w:val="00ED1948"/>
    <w:rsid w:val="00ED7FF8"/>
    <w:rsid w:val="00F233D1"/>
    <w:rsid w:val="00F5330B"/>
    <w:rsid w:val="00F53A75"/>
    <w:rsid w:val="00FA7618"/>
    <w:rsid w:val="00FC3AC2"/>
    <w:rsid w:val="00FE796F"/>
    <w:rsid w:val="11932C19"/>
    <w:rsid w:val="2A0F2CFC"/>
    <w:rsid w:val="3E3F1DB4"/>
    <w:rsid w:val="69D3651C"/>
    <w:rsid w:val="7DBC56A8"/>
    <w:rsid w:val="7FB3368B"/>
    <w:rsid w:val="B6B3C2D3"/>
    <w:rsid w:val="DFF71D6C"/>
    <w:rsid w:val="EBC23AA4"/>
    <w:rsid w:val="EFBB36D0"/>
    <w:rsid w:val="FB1FE651"/>
    <w:rsid w:val="FBB5808E"/>
    <w:rsid w:val="FEBD76A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footnote reference"/>
    <w:basedOn w:val="5"/>
    <w:unhideWhenUsed/>
    <w:qFormat/>
    <w:uiPriority w:val="99"/>
    <w:rPr>
      <w:vertAlign w:val="superscript"/>
    </w:rPr>
  </w:style>
  <w:style w:type="paragraph" w:customStyle="1" w:styleId="7">
    <w:name w:val="脚注"/>
    <w:basedOn w:val="1"/>
    <w:link w:val="8"/>
    <w:qFormat/>
    <w:uiPriority w:val="99"/>
    <w:pPr>
      <w:topLinePunct/>
      <w:spacing w:line="300" w:lineRule="exact"/>
      <w:ind w:left="150" w:hanging="150" w:hangingChars="150"/>
      <w:jc w:val="left"/>
    </w:pPr>
    <w:rPr>
      <w:rFonts w:ascii="宋体" w:hAnsi="宋体" w:cstheme="minorBidi"/>
      <w:sz w:val="18"/>
      <w:szCs w:val="18"/>
    </w:rPr>
  </w:style>
  <w:style w:type="character" w:customStyle="1" w:styleId="8">
    <w:name w:val="脚注 Char"/>
    <w:link w:val="7"/>
    <w:qFormat/>
    <w:locked/>
    <w:uiPriority w:val="99"/>
    <w:rPr>
      <w:rFonts w:ascii="宋体" w:hAnsi="宋体" w:eastAsia="宋体"/>
      <w:sz w:val="18"/>
      <w:szCs w:val="18"/>
    </w:rPr>
  </w:style>
  <w:style w:type="character" w:customStyle="1" w:styleId="9">
    <w:name w:val="页眉 Char"/>
    <w:basedOn w:val="5"/>
    <w:link w:val="3"/>
    <w:uiPriority w:val="99"/>
    <w:rPr>
      <w:rFonts w:ascii="Times New Roman" w:hAnsi="Times New Roman" w:eastAsia="宋体" w:cs="Times New Roman"/>
      <w:kern w:val="2"/>
      <w:sz w:val="18"/>
      <w:szCs w:val="18"/>
    </w:rPr>
  </w:style>
  <w:style w:type="character" w:customStyle="1" w:styleId="10">
    <w:name w:val="页脚 Char"/>
    <w:basedOn w:val="5"/>
    <w:link w:val="2"/>
    <w:uiPriority w:val="99"/>
    <w:rPr>
      <w:rFonts w:ascii="Times New Roman" w:hAnsi="Times New Roman" w:eastAsia="宋体" w:cs="Times New Roman"/>
      <w:kern w:val="2"/>
      <w:sz w:val="18"/>
      <w:szCs w:val="18"/>
    </w:rPr>
  </w:style>
  <w:style w:type="paragraph" w:styleId="11">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人民大学</Company>
  <Pages>2</Pages>
  <Words>119</Words>
  <Characters>680</Characters>
  <Lines>5</Lines>
  <Paragraphs>1</Paragraphs>
  <TotalTime>0</TotalTime>
  <ScaleCrop>false</ScaleCrop>
  <LinksUpToDate>false</LinksUpToDate>
  <CharactersWithSpaces>798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2022-04-08T06:30:00Z</dcterms:created>
  <dc:creator>静 王</dc:creator>
  <cp:lastModifiedBy>HM</cp:lastModifiedBy>
  <dcterms:modified xsi:type="dcterms:W3CDTF">2022-04-11T01:13:28Z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