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G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İZLİLİK 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ÖZLE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ŞMESİ</w:t>
      </w:r>
    </w:p>
    <w:p>
      <w:pPr>
        <w:spacing w:before="0" w:after="0" w:line="240"/>
        <w:ind w:right="0" w:left="2124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İşbu Gizlilik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özle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şmesi ("S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özle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şme")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01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.0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5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.2021 tarihinde yapılmış ve 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ürürlü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ğe girmiştir,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TARAFLAR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İşbu Gizlilik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özle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şmesi (Bundan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öyle “Sözle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şme” olarak anılacaktır.), bir tarafta;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_________________________________________ Adresinde mukim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ÇA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ĞRI UĞUREL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(işbu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özle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şmede " Hizmet Veren " olarak anılacak)  ile,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ğer tarafta </w:t>
      </w: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FFFFFF" w:val="clear"/>
        </w:rPr>
        <w:t xml:space="preserve">G</w:t>
      </w: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FFFFFF" w:val="clear"/>
        </w:rPr>
        <w:t xml:space="preserve">ürp</w:t>
      </w: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FFFFFF" w:val="clear"/>
        </w:rPr>
        <w:t xml:space="preserve">ınar, 7234 Sk. 2/A, 35060 Işıkkent / Bornova/İzmir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adresinde mukim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Blacc Enterprise A.Ş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(İşbu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özle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şmede “Şirket” olarak anılacaktır),  arasında aşağıdaki şartlar dahilinde imzalanmıştır.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Hizmet Veren ve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Şirket, bundan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öyle ayr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 ayrı “Taraf” ve birlikte “Taraflar” olarak anılacaktır.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SÖZLE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ŞMENİN KONUSU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Taraflar aras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ındaki proje bazlı hizmet alma işi ilişkisi gereği,  işlerin ifası sırasında Hizmet Veren, Hizmet Veren personeli, alt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ışanları ve kendisine bağlı olarak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ışan veya Hizmet Veren’e bağlı olmasa dahi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özle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şmesel ilişki kapsamında hizmet aldığı diğer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üçüncü ki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şiler; Şirket’e ve grup şirketlerine, servislerine,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şterilerine, Şirket’in ticari ve/veya hukuki ilişki 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çinde bulundu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üçüncü ki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şilere ait yazılı veya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özlü bilgilere vak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ıf olduğundan/olacağından, Taraflar ,işbu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özle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şme’nin imzalanması hususunda anlaşmışlardır.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72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G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İZLİLİK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Sözlü, yaz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ılı ve/veya dijital formda Şirket’in kendisi, bağlı ortaklıkları, ortakları, iş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çileri, bayileri, servisleri, mü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şterileri ve Şirket ile ticari ve/veya hukuki ilişki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çinde bulunan tüm üçüncü ki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şilerce, Hizmet Veren, Hizmet Veren personeli, alt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ışanları ve kendisine bağlı olarak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ışan veya Hizmet Veren’e bağlı olmasa dahi Hizmet Veren’in hizmet aldığı diğer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üçüncü ki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şilere 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ıklanan ve/veya Hizmet Veren ve Hizmet Veren personeli tarafından doğrudan veya dolaylı şekilde ve her ne suretle olursa olsun vakıf olunan; her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ürlü bilgi, bulu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ş, iş, metot, ilerleme ve patent, telif hakkı, marka, ticari sır, teknik,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ürün ya da yasal korumaya konu olmasa bile di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ğer her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ürlü bilgi, yenilik ve bu ki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şilerin taraflar arasındaki ticari ilişki esnasında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ğrenecekleri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üm ticari, mali, teknik, hukuki bilgiler piyasaya ve bayilere, mü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şteri ve benzeri ile ticari ve/veya hukuki ilişki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çinde bulunan tüm üçüncü ki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şilere ait bilgiler ile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şteri hizmetleri konuşma bilgileri ile her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ürlü plan, not, foto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ğraf, test ve anket sonucu, şartname, rapor, know-how ve sair her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ürlü veri, bilgi ve belge “Gizli Bilgi” olarak kabul edilir.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Bununla birlikte Hizmet Veren,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Şirketin ticari sırlarının aşağıdakilerden oluşacağını, ancak bunlarla sınırlı olmayacağını kabul eder: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Teknik bilgiler: Yöntemler, süreçler, formüller, sistemler, teknikler, bulu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şlar, bilgisayar programları, araştırmalar.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İşletme bilgileri: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şteri listeleri, fiyatlandırma verileri, tedarik kaynağı, finansal veriler ve pazarlama,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üretim veya sat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ış sistemi veya planları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Hizmet Veren, 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şbu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özle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şme’ye aykırı davranmadığı, bu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ür gizli ve özel bilgileri kullanmad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ığı veya ifşa etmediği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ürece, bu Sözle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şmenin Şirket’e hizmet vereceği proje tamamlanana kadar başka bir şirkette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ışmasını engellemediğini ve etmeyeceğini anlar.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72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KULLANIM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Hizmet Veren,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Şirket tarafından talep edilen hizmeti sağlamak 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çin gerekli olan durumlar ve verece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ği hizmetin yerine getirilmesi amacının dışında, Şirket’e ait Gizli Bilgi’yi doğrudan ya da dolaylı olarak kullanmayacaktır. Hizmet Veren, Gizli Bilgi’ye 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örevi kapsam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ında erişeceğini, 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örev alan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ına girmeyen bilgilere erişmeyeceğini, Gizli Bilgi’nin korunması bakımından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özen ve itinadan fazla ve maksimum hassasiyetle koruyaca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ğını kabul, beyan ve taahh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üt eder.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Hizmet Veren,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Şirket’in yazılı izni olmaksızın kanunda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ça belirtilen haller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ışında Gizli Bilgi’yi 3. kişilere aktaramaz herhangi bir şekilde ya da herhangi bir yolla dağıtamaz, basın yayın organları ve medya kuruluşları vasıtasıyla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ıklayamaz, reklam amacıyla kullanamaz.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Hizmet Veren’in sözle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şmesel 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ükümlülüklerinin ifas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ında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üçüncü ki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şilerin hizmetlerinden faydalanması halinde, Hizmet Veren, Gizli Bilgileri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öz konusu ki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şilere işbu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özle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şmenin konusu ve amacı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çerçevesinde gerekli oldu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ğu oranda ve bu kişilerin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öz konusu bilgileri Gizli Bilgi olarak addetmeleri hakk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ında uyarılmaları halinde aktarabilir. İşbu gizlilik 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ükümlülü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ünün söz konusu üçüncü ki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şiler tarafından ihlal edilmesi durumunda, ihlal Hizmet Veren tarafından yapılmış addedilecektir. Hizmet Veren, yukarıda tanımlanan Gizli Bilgilerin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özle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şmeye aykırı bi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çimde aç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ıklandığından haberdar olduğunda derhal ve yazılı olarak Şirket’e durumu bildirmekle 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ükümlüdür.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Hizmet Veren,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Şirket’e uzaktan bağlantı suretiyle destek sağladığında, bağlantıya konu bilgisayarların Şirket’e ve/veya Şirket sistemine herhangi bir zarar vermemesi 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çin gerekli tüm önlemleri almakla yükümlü olup, uzaktan ba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ğlantı sebebiyle Şirket’in ve/veya Şirket sisteminin maruz kalacağı her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ürlü ispat edilmi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 zararı derhal tazminle 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ükümlüdür.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Hizmet Veren, gizli bilgiler içeren her türlü materyali, taraflar aras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ındaki ilişkinin sona ermesi veya Şirket’in talebi halinde derhal Şirket’e iade etmekle 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ükümlüdür. Hizmet Veren,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Şirket’e iade edilemeyen her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ürlü veri, bilgi, materyal, suret, kopyay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 derhal imha etmekle 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ükümlüdür.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UYGULAMA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Hizmet Veren, bu Sözle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şmenin herhangi bir 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ükmünü ihlal ederse,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Şirketin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özle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şmesini yargı yetkisine sahip bir mahkemede uygulama hakkına sahip olacağını kabul eder. Hizmet Veren, bu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özle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şmenin bu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ür bir ihlalinin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Şirkete onarılamaz bir zarar vereceğini ve maddi zararların Şirkete yeterli bir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çözüm sa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ğlamayacağını kabul ve beyan eder. Buna ek olarak Şirket, kanunda veya hakkaniyette mevcut diğer haklara ve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çarelere sahip olacakt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MÜLK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İYET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Hizmet Veren,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Şirket atamaları ile bağlantılı olarak Hizmet Veren tarafından veya Hizmet Veren’in  talimatıyla yapılan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üm geli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şmelerin ve yaratılan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ışmaların Şirketin yegane ve tam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ülkiyeti olaca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ğını, buradaki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üm telif haklar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ının ve diğer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ülkiyet haklar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ının Şirkete ait olacağını ve diğer 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ükümlerin Bu Sözle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şme, bu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ür tüm geli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ştirme ve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ışmaları tam olarak uygulanacaktır. Ayrıca Şirket, Hizmet Veren ile paylaştığı yukarıda tanımlanan ve kendisine ait olan gizli bilgiler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üzerinde münhas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ıran hak sahibidir.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UYGULANACAK HUKUK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Bu Sözle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şme,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ürkiye Cumhuriyeti kanunlar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ına 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öre yorumlanacakt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ve işbu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özle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şme sebebiyle ortaya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ıkacak olan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üm uyu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şmazlıklarda İzmir Mahkemeleri ve İcra Daireleri yetkili olup,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ürk hukuku uygulan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TAZM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İNAT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Söz konusu gizlilik yükümlülü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 ihlal edildi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ği takdirde, Şirket’in taraflar arasındaki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üm ticari 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 ilişkisini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önceden bir ihbarda bulunmaks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ızın ve başkaca bir 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ükümlülük alt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ına girmeksizin derhal sona erdirme hakkı saklıdır. Hizmet Veren, gizlilik 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ükümlülü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ünün 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ılan şekilde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ık ihlali halinde Şirket’in işbu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özle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şmenin ihlali nedeniyle uğramış olduğu doğrudan ya da dolaylı her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ürlü zararlar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 ilk talep anında, derhal, nakden ve defaten tazmin edeceğini kabul ve taahh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üt eder. Yukar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ıdaki paragraf 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ükmü sakl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 kalmak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üzere, Hizmet Veren ayr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ıca, gizlilik 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ükümlülü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ünün ihlali halinde herhangi bir hüküm istihsaline gerek kalmaks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ızın Şirket’in ilk talebinde derhal Şirket’e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100.000₺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tutarında cezai şart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ödemeyi kabul ve taahhüt eder. Hizmet Veren, bu cezai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şartın mahiyetine vakıf olduğunu, ekonomik durumunun bu cezayı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ödemeye muktedir oldu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ğunu ve hi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çbir surette cezai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şart miktarının indirilmesini talep etmemeyi kabul ve taahh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üt eder. Cezai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şart tutarının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ödenmi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 olması, Hizmet Veren’in işbu maddenin ilk paragrafında yer alan zarar tazmini 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ükümlülü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üne halel getirmez. Hizmet Veren, 6698 Ki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şisel Verilerin Korunması Kanunu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âhil yürürlükteki tüm kanun, kural ve düzenlemelere uydu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ğunu ve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özle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şmenin sonuna kadar uymaya devam edeceğini ve herhangi bir ihlalde bulunmayacağını, Hizmet Veren’in 6698 sayılı Kişisel Verilerin Korunması Kanunu ile işbu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özle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şmede yer alan 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ükümlülüklerini ihlal etmesi halinde, Hizmet Veren, ki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şisel verileri paylaşılanın bu ihlalden kaynaklanan/kaynaklanacak, doğmuş/doğabilecek bilc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ümle zararlar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ını ayrı ayrı derhal nakden ve defaten tazmin etmeyi, Şirket’in herhangi bir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ödeme yapmas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 halinde, Hizmet Veren Şirket’in kendisine 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ücu edece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ğini kabul, beyan ve taahh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üt eder.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BA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ĞLAYICI 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ÖZLE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ŞME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Bu vaatlerin herhangi bir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ısmının herhangi bir nedenle ge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çersiz olmas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 halinde, aşağıda imzası bulunan kişi, vaatler dengesinin ge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çerlili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ğini veya uygulanabilirliğini etkilemeksizin ayrılabileceğini kabul eder.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İşbu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özle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şme maddelerinden herhangi biri ge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çersiz say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ılır ya da iptal edilirse, bu hal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özle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şmenin diğer maddelerinin ge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çerli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ğine etki etmez.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SON HÜKÜM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Şirket dilediği zaman, herhangi bir gerek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çe göstermeksizin ve süre vermekle yükümlü olmaks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ızın, taraflar arasındaki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üm ticari 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 ilişkisini tamamen ve/veya herhangi bir tazminat ve benzeri hi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çbir ek yükümlülük alt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ına girmeksizin derhal feshetme hakkına her zaman sahiptir.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İşbu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özle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şme kapsamında yapılacak her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ürlü bildirim, taraflar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ın yukarıda belirtilen yasal tebligat adreslerine noter, iadeli taahh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ütlü posta ve/veya yaz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ılı olarak teyit edilmek ve teyit tarihi tebell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 tarihi olmak kaydıyla elektronik posta, faks yoluyla yapılacaktır. Tarafların adres bilgilerindeki değişiklikler derhal yazılı olarak karşı tarafa bildirilmediği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ürece bu adreslere usulüne uygun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şekilde yapılacak tebligatlar, yasal bir tebligatın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üm sonuçlar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ını doğuracaktır.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İşbu Gizlilik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özle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şmesi ve gizlilik 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ükümlülü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ü, Taraflar aras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ındaki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üm fiili uygulama dönemi için geçerlidir. Taraflar aras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ındaki ilişki sona erse dahi işbu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özle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şmedeki gizlilik 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ükümlülükleri, ili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şkinin sona erdiği tarihten itibaren 5 yıl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üreyle geçerli olmaya devam edecektir. Bu sözle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şme ya da buradaki herhangi bir hak veya 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ükümlülük 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ğer tarafın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önceden yaz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ılı izni olmadık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ça tamamen ya da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ısmen devredilemez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Bu Sözle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şme, taraflar, halefleri, vekilleri ve kişisel temsilcileri 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çin de ba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ğlayıcı olacak ve onların yararını sağlayacaktır.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Bu 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Nüsha, 4 (dört) sayfadan ibaret sözle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şme …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/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…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/...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tarihinde imzalanmıştır.</w:t>
      </w:r>
    </w:p>
    <w:p>
      <w:pPr>
        <w:spacing w:before="0" w:after="2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TARAFLAR</w:t>
        <w:br/>
      </w:r>
    </w:p>
    <w:p>
      <w:pPr>
        <w:spacing w:before="0" w:after="24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İmza</w:t>
        <w:tab/>
        <w:tab/>
        <w:tab/>
        <w:tab/>
        <w:tab/>
        <w:tab/>
        <w:tab/>
        <w:tab/>
        <w:t xml:space="preserve">İmza</w:t>
        <w:tab/>
        <w:tab/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5A5A5A"/>
          <w:spacing w:val="15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Yetkili Ad Soyad</w:t>
        <w:tab/>
        <w:tab/>
        <w:tab/>
        <w:tab/>
        <w:tab/>
        <w:tab/>
        <w:t xml:space="preserve">Yetkili Ad Soyad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4">
    <w:abstractNumId w:val="36"/>
  </w:num>
  <w:num w:numId="6">
    <w:abstractNumId w:val="30"/>
  </w:num>
  <w:num w:numId="9">
    <w:abstractNumId w:val="24"/>
  </w:num>
  <w:num w:numId="12">
    <w:abstractNumId w:val="18"/>
  </w:num>
  <w:num w:numId="15">
    <w:abstractNumId w:val="12"/>
  </w:num>
  <w:num w:numId="18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