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55927">
      <w:pPr>
        <w:spacing w:after="200"/>
        <w:jc w:val="center"/>
      </w:pPr>
      <w:r>
        <w:rPr>
          <w:rFonts w:ascii="Arial" w:hAnsi="Arial" w:eastAsia="微软雅黑"/>
          <w:b/>
          <w:bCs/>
          <w:sz w:val="48"/>
          <w:szCs w:val="48"/>
        </w:rPr>
        <w:t>云南省自然灾害应急响应平台</w:t>
      </w:r>
    </w:p>
    <w:p w14:paraId="19B2E658">
      <w:pPr>
        <w:spacing w:after="300"/>
        <w:jc w:val="center"/>
        <w:rPr>
          <w:rFonts w:hint="default"/>
          <w:lang w:val="en-US"/>
        </w:rPr>
      </w:pPr>
      <w:r>
        <w:rPr>
          <w:rFonts w:hint="eastAsia" w:ascii="Arial" w:hAnsi="Arial" w:eastAsia="微软雅黑"/>
          <w:b/>
          <w:bCs/>
          <w:sz w:val="40"/>
          <w:szCs w:val="40"/>
          <w:lang w:val="en-US" w:eastAsia="zh-CN"/>
        </w:rPr>
        <w:t>第六组-创新性分析文档</w:t>
      </w:r>
    </w:p>
    <w:p w14:paraId="07451950"/>
    <w:p w14:paraId="2D9A6EBD">
      <w:pPr>
        <w:pStyle w:val="81"/>
      </w:pPr>
      <w:r>
        <w:rPr>
          <w:rFonts w:ascii="Arial" w:hAnsi="Arial" w:eastAsia="微软雅黑" w:cstheme="minorBidi"/>
          <w:b/>
          <w:bCs/>
          <w:kern w:val="0"/>
          <w:sz w:val="32"/>
          <w:szCs w:val="32"/>
        </w:rPr>
        <w:t>文档修订历史</w:t>
      </w:r>
    </w:p>
    <w:p w14:paraId="3A3B0C82"/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426"/>
        <w:gridCol w:w="1384"/>
      </w:tblGrid>
      <w:tr w14:paraId="098C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68A6262B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序号</w:t>
            </w:r>
          </w:p>
        </w:tc>
        <w:tc>
          <w:tcPr>
            <w:tcW w:w="1384" w:type="dxa"/>
          </w:tcPr>
          <w:p w14:paraId="6E334778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修订原因</w:t>
            </w:r>
          </w:p>
        </w:tc>
        <w:tc>
          <w:tcPr>
            <w:tcW w:w="1384" w:type="dxa"/>
          </w:tcPr>
          <w:p w14:paraId="0EDFC9B2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版本号</w:t>
            </w:r>
          </w:p>
        </w:tc>
        <w:tc>
          <w:tcPr>
            <w:tcW w:w="1384" w:type="dxa"/>
          </w:tcPr>
          <w:p w14:paraId="21CC5630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作者</w:t>
            </w:r>
          </w:p>
        </w:tc>
        <w:tc>
          <w:tcPr>
            <w:tcW w:w="1426" w:type="dxa"/>
          </w:tcPr>
          <w:p w14:paraId="718DE3B5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修订日期</w:t>
            </w:r>
          </w:p>
        </w:tc>
        <w:tc>
          <w:tcPr>
            <w:tcW w:w="1384" w:type="dxa"/>
          </w:tcPr>
          <w:p w14:paraId="45C09C32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备注</w:t>
            </w:r>
          </w:p>
        </w:tc>
      </w:tr>
      <w:tr w14:paraId="04F50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0B3B5E7A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1</w:t>
            </w:r>
          </w:p>
        </w:tc>
        <w:tc>
          <w:tcPr>
            <w:tcW w:w="1384" w:type="dxa"/>
          </w:tcPr>
          <w:p w14:paraId="4D8266B1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初始文档创建，搭建创新分析框架</w:t>
            </w:r>
          </w:p>
        </w:tc>
        <w:tc>
          <w:tcPr>
            <w:tcW w:w="1384" w:type="dxa"/>
          </w:tcPr>
          <w:p w14:paraId="259EC009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1.0.0</w:t>
            </w:r>
          </w:p>
        </w:tc>
        <w:tc>
          <w:tcPr>
            <w:tcW w:w="1384" w:type="dxa"/>
          </w:tcPr>
          <w:p w14:paraId="7A952920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/>
              </w:rPr>
              <w:t>崔雪锋</w:t>
            </w:r>
          </w:p>
        </w:tc>
        <w:tc>
          <w:tcPr>
            <w:tcW w:w="1426" w:type="dxa"/>
          </w:tcPr>
          <w:p w14:paraId="6E4BE896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2026-07-25</w:t>
            </w:r>
          </w:p>
        </w:tc>
        <w:tc>
          <w:tcPr>
            <w:tcW w:w="1384" w:type="dxa"/>
          </w:tcPr>
          <w:p w14:paraId="20632217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</w:p>
        </w:tc>
      </w:tr>
      <w:tr w14:paraId="07FFB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28063F46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2</w:t>
            </w:r>
          </w:p>
        </w:tc>
        <w:tc>
          <w:tcPr>
            <w:tcW w:w="1384" w:type="dxa"/>
          </w:tcPr>
          <w:p w14:paraId="22A0B8A5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补充竞品对比与优势总结</w:t>
            </w:r>
          </w:p>
        </w:tc>
        <w:tc>
          <w:tcPr>
            <w:tcW w:w="1384" w:type="dxa"/>
          </w:tcPr>
          <w:p w14:paraId="5F262CC6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1.0.1</w:t>
            </w:r>
          </w:p>
        </w:tc>
        <w:tc>
          <w:tcPr>
            <w:tcW w:w="1384" w:type="dxa"/>
          </w:tcPr>
          <w:p w14:paraId="5FAEA35C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/>
              </w:rPr>
              <w:t>崔雪锋</w:t>
            </w:r>
          </w:p>
        </w:tc>
        <w:tc>
          <w:tcPr>
            <w:tcW w:w="1426" w:type="dxa"/>
          </w:tcPr>
          <w:p w14:paraId="2156CC27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2026-07-2</w:t>
            </w: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384" w:type="dxa"/>
          </w:tcPr>
          <w:p w14:paraId="234C5FEE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</w:p>
        </w:tc>
      </w:tr>
      <w:tr w14:paraId="57EE7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25273B78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3</w:t>
            </w:r>
          </w:p>
        </w:tc>
        <w:tc>
          <w:tcPr>
            <w:tcW w:w="1384" w:type="dxa"/>
          </w:tcPr>
          <w:p w14:paraId="0ADBF14A">
            <w:pPr>
              <w:spacing w:after="0"/>
              <w:jc w:val="left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/>
              </w:rPr>
              <w:t>创新性撰写</w:t>
            </w:r>
          </w:p>
        </w:tc>
        <w:tc>
          <w:tcPr>
            <w:tcW w:w="1384" w:type="dxa"/>
          </w:tcPr>
          <w:p w14:paraId="7E9CBA32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.0.</w:t>
            </w: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84" w:type="dxa"/>
          </w:tcPr>
          <w:p w14:paraId="58A1373F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/>
              </w:rPr>
              <w:t>崔雪锋</w:t>
            </w:r>
          </w:p>
        </w:tc>
        <w:tc>
          <w:tcPr>
            <w:tcW w:w="1426" w:type="dxa"/>
          </w:tcPr>
          <w:p w14:paraId="29963CC7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2026-07-2</w:t>
            </w: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384" w:type="dxa"/>
          </w:tcPr>
          <w:p w14:paraId="040B28E7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</w:p>
        </w:tc>
      </w:tr>
      <w:tr w14:paraId="21831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0A44C1D0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4</w:t>
            </w:r>
          </w:p>
        </w:tc>
        <w:tc>
          <w:tcPr>
            <w:tcW w:w="1384" w:type="dxa"/>
          </w:tcPr>
          <w:p w14:paraId="75ECF56A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校对正文、图表与引用一致性</w:t>
            </w:r>
          </w:p>
        </w:tc>
        <w:tc>
          <w:tcPr>
            <w:tcW w:w="1384" w:type="dxa"/>
          </w:tcPr>
          <w:p w14:paraId="75E661B3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.0.</w:t>
            </w: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84" w:type="dxa"/>
          </w:tcPr>
          <w:p w14:paraId="5FE2DA8D">
            <w:pPr>
              <w:spacing w:after="0"/>
              <w:jc w:val="left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/>
              </w:rPr>
              <w:t>崔雪锋</w:t>
            </w:r>
          </w:p>
        </w:tc>
        <w:tc>
          <w:tcPr>
            <w:tcW w:w="1426" w:type="dxa"/>
          </w:tcPr>
          <w:p w14:paraId="66469E9F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  <w:t>2026-07-2</w:t>
            </w: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384" w:type="dxa"/>
          </w:tcPr>
          <w:p w14:paraId="0BB50933">
            <w:pPr>
              <w:spacing w:after="0"/>
              <w:jc w:val="left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lang/>
              </w:rPr>
            </w:pPr>
          </w:p>
        </w:tc>
      </w:tr>
    </w:tbl>
    <w:p w14:paraId="7268241D"/>
    <w:p w14:paraId="41BB2943">
      <w:pPr>
        <w:pStyle w:val="81"/>
      </w:pPr>
    </w:p>
    <w:p w14:paraId="73B9ADA1">
      <w:pPr>
        <w:pStyle w:val="81"/>
      </w:pPr>
    </w:p>
    <w:p w14:paraId="4F9DA603">
      <w:pPr>
        <w:pStyle w:val="81"/>
      </w:pPr>
    </w:p>
    <w:p w14:paraId="1E7BA00A">
      <w:pPr>
        <w:pStyle w:val="81"/>
        <w:jc w:val="both"/>
      </w:pPr>
    </w:p>
    <w:p w14:paraId="3544946C">
      <w:pPr>
        <w:pStyle w:val="81"/>
        <w:jc w:val="both"/>
      </w:pPr>
    </w:p>
    <w:p w14:paraId="0DF8F0B7">
      <w:pPr>
        <w:pStyle w:val="81"/>
        <w:jc w:val="both"/>
      </w:pPr>
      <w:bookmarkStart w:id="39" w:name="_GoBack"/>
      <w:bookmarkEnd w:id="39"/>
    </w:p>
    <w:p w14:paraId="63B7D51C">
      <w:pPr>
        <w:pStyle w:val="81"/>
      </w:pPr>
    </w:p>
    <w:p w14:paraId="3A05AB7F">
      <w:pPr>
        <w:spacing w:after="120" w:line="360" w:lineRule="auto"/>
        <w:jc w:val="center"/>
        <w:rPr>
          <w:rFonts w:hint="eastAsia" w:ascii="Arial" w:hAnsi="Arial" w:eastAsia="微软雅黑"/>
          <w:b/>
          <w:bCs/>
          <w:kern w:val="0"/>
          <w:sz w:val="22"/>
          <w:szCs w:val="22"/>
          <w:lang w:val="en-US" w:eastAsia="zh-CN"/>
        </w:rPr>
      </w:pPr>
      <w:r>
        <w:rPr>
          <w:rFonts w:ascii="Arial" w:hAnsi="Arial" w:eastAsia="微软雅黑"/>
          <w:b/>
          <w:bCs/>
          <w:kern w:val="0"/>
          <w:sz w:val="22"/>
          <w:szCs w:val="22"/>
        </w:rPr>
        <w:t>版本：</w:t>
      </w:r>
      <w:r>
        <w:rPr>
          <w:rFonts w:hint="eastAsia" w:ascii="Arial" w:hAnsi="Arial" w:eastAsia="微软雅黑"/>
          <w:b/>
          <w:bCs/>
          <w:kern w:val="0"/>
          <w:sz w:val="22"/>
          <w:szCs w:val="22"/>
          <w:lang w:val="en-US" w:eastAsia="zh-CN"/>
        </w:rPr>
        <w:t>3</w:t>
      </w:r>
      <w:r>
        <w:rPr>
          <w:rFonts w:ascii="Arial" w:hAnsi="Arial" w:eastAsia="微软雅黑"/>
          <w:b/>
          <w:bCs/>
          <w:kern w:val="0"/>
          <w:sz w:val="22"/>
          <w:szCs w:val="22"/>
        </w:rPr>
        <w:t>.0.</w:t>
      </w:r>
      <w:r>
        <w:rPr>
          <w:rFonts w:hint="eastAsia" w:ascii="Arial" w:hAnsi="Arial" w:eastAsia="微软雅黑"/>
          <w:b/>
          <w:bCs/>
          <w:kern w:val="0"/>
          <w:sz w:val="22"/>
          <w:szCs w:val="22"/>
          <w:lang w:val="en-US" w:eastAsia="zh-CN"/>
        </w:rPr>
        <w:t>0</w:t>
      </w:r>
    </w:p>
    <w:p w14:paraId="41E6CEAE">
      <w:pPr>
        <w:spacing w:after="120" w:line="360" w:lineRule="auto"/>
        <w:jc w:val="center"/>
        <w:rPr>
          <w:rFonts w:hint="eastAsia" w:eastAsia="微软雅黑"/>
          <w:lang w:val="en-US" w:eastAsia="zh-CN"/>
        </w:rPr>
      </w:pPr>
      <w:r>
        <w:rPr>
          <w:rFonts w:ascii="Arial" w:hAnsi="Arial" w:eastAsia="微软雅黑"/>
          <w:b/>
          <w:bCs/>
          <w:kern w:val="0"/>
          <w:sz w:val="22"/>
          <w:szCs w:val="22"/>
        </w:rPr>
        <w:t>日期：2026-07-2</w:t>
      </w:r>
      <w:r>
        <w:rPr>
          <w:rFonts w:hint="eastAsia" w:ascii="Arial" w:hAnsi="Arial" w:eastAsia="微软雅黑"/>
          <w:b/>
          <w:bCs/>
          <w:kern w:val="0"/>
          <w:sz w:val="22"/>
          <w:szCs w:val="22"/>
          <w:lang w:val="en-US" w:eastAsia="zh-CN"/>
        </w:rPr>
        <w:t>6</w:t>
      </w:r>
    </w:p>
    <w:p w14:paraId="2896C6EA">
      <w:p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1"/>
          <w:lang w:val="en-US" w:eastAsia="zh-CN" w:bidi="ar-SA"/>
        </w:rPr>
        <w:id w:val="147480922"/>
        <w15:color w:val="DBDBDB"/>
        <w:docPartObj>
          <w:docPartGallery w:val="Table of Contents"/>
          <w:docPartUnique/>
        </w:docPartObj>
      </w:sdtPr>
      <w:sdtContent>
        <w:p w14:paraId="3D60ABB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Style w:val="68"/>
            </w:rPr>
          </w:pPr>
          <w:bookmarkStart w:id="0" w:name="_Toc32500"/>
          <w:r>
            <w:rPr>
              <w:rStyle w:val="68"/>
            </w:rPr>
            <w:t>目录</w:t>
          </w:r>
        </w:p>
        <w:p w14:paraId="718A6091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_Toc26848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</w:t>
          </w:r>
          <w:r>
            <w:t>痛点分析</w:t>
          </w:r>
          <w:r>
            <w:tab/>
          </w:r>
          <w:r>
            <w:fldChar w:fldCharType="begin"/>
          </w:r>
          <w:r>
            <w:instrText xml:space="preserve"> PAGEREF _Toc26848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2553C71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_Toc26958 </w:instrText>
          </w:r>
          <w:r>
            <w:fldChar w:fldCharType="separate"/>
          </w:r>
          <w:r>
            <w:rPr>
              <w:rFonts w:ascii="Times New Roman" w:hAnsi="Times New Roman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</w:rPr>
            <w:t xml:space="preserve">1.1 </w:t>
          </w:r>
          <w:r>
            <w:t>痛点概述</w:t>
          </w:r>
          <w:r>
            <w:tab/>
          </w:r>
          <w:r>
            <w:fldChar w:fldCharType="begin"/>
          </w:r>
          <w:r>
            <w:instrText xml:space="preserve"> PAGEREF _Toc26958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73C7E8C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_Toc22695 </w:instrText>
          </w:r>
          <w:r>
            <w:fldChar w:fldCharType="separate"/>
          </w:r>
          <w:r>
            <w:rPr>
              <w:rFonts w:ascii="Times New Roman" w:hAnsi="Times New Roman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</w:rPr>
            <w:t xml:space="preserve">1.2 </w:t>
          </w:r>
          <w:r>
            <w:t>相关工作</w:t>
          </w:r>
          <w:r>
            <w:tab/>
          </w:r>
          <w:r>
            <w:fldChar w:fldCharType="begin"/>
          </w:r>
          <w:r>
            <w:instrText xml:space="preserve"> PAGEREF _Toc22695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BDB68FE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_Toc23967 </w:instrText>
          </w:r>
          <w:r>
            <w:fldChar w:fldCharType="separate"/>
          </w:r>
          <w:r>
            <w:rPr>
              <w:rFonts w:ascii="Times New Roman" w:hAnsi="Times New Roman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</w:rPr>
            <w:t xml:space="preserve">1.2.1 </w:t>
          </w:r>
          <w:r>
            <w:t>现有工作核心不足</w:t>
          </w:r>
          <w:r>
            <w:tab/>
          </w:r>
          <w:r>
            <w:fldChar w:fldCharType="begin"/>
          </w:r>
          <w:r>
            <w:instrText xml:space="preserve"> PAGEREF _Toc23967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1231954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_Toc9952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</w:t>
          </w:r>
          <w:r>
            <w:t>项目创新点</w:t>
          </w:r>
          <w:r>
            <w:tab/>
          </w:r>
          <w:r>
            <w:fldChar w:fldCharType="begin"/>
          </w:r>
          <w:r>
            <w:instrText xml:space="preserve"> PAGEREF _Toc9952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D82EAD8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_Toc3860 </w:instrText>
          </w:r>
          <w:r>
            <w:fldChar w:fldCharType="separate"/>
          </w:r>
          <w:r>
            <w:t>2.1 技术性创新点</w:t>
          </w:r>
          <w:r>
            <w:tab/>
          </w:r>
          <w:r>
            <w:fldChar w:fldCharType="begin"/>
          </w:r>
          <w:r>
            <w:instrText xml:space="preserve"> PAGEREF _Toc3860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A138A63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_Toc25922 </w:instrText>
          </w:r>
          <w:r>
            <w:fldChar w:fldCharType="separate"/>
          </w:r>
          <w:r>
            <w:t>2.1.1 多源灾情统一采集与态势聚合</w:t>
          </w:r>
          <w:r>
            <w:tab/>
          </w:r>
          <w:r>
            <w:fldChar w:fldCharType="begin"/>
          </w:r>
          <w:r>
            <w:instrText xml:space="preserve"> PAGEREF _Toc25922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3740AB6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_Toc26182 </w:instrText>
          </w:r>
          <w:r>
            <w:fldChar w:fldCharType="separate"/>
          </w:r>
          <w:r>
            <w:t>2.1.2 状态机约束的事件可控流转</w:t>
          </w:r>
          <w:r>
            <w:tab/>
          </w:r>
          <w:r>
            <w:fldChar w:fldCharType="begin"/>
          </w:r>
          <w:r>
            <w:instrText xml:space="preserve"> PAGEREF _Toc26182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9691DFE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_Toc2239 </w:instrText>
          </w:r>
          <w:r>
            <w:fldChar w:fldCharType="separate"/>
          </w:r>
          <w:r>
            <w:t>2.1.3 RAG + Agent 双知识库方案生成与兜底</w:t>
          </w:r>
          <w:r>
            <w:tab/>
          </w:r>
          <w:r>
            <w:fldChar w:fldCharType="begin"/>
          </w:r>
          <w:r>
            <w:instrText xml:space="preserve"> PAGEREF _Toc2239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C6F3E5B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_Toc24629 </w:instrText>
          </w:r>
          <w:r>
            <w:fldChar w:fldCharType="separate"/>
          </w:r>
          <w:r>
            <w:t>2.2 功能性创新点</w:t>
          </w:r>
          <w:r>
            <w:tab/>
          </w:r>
          <w:r>
            <w:fldChar w:fldCharType="begin"/>
          </w:r>
          <w:r>
            <w:instrText xml:space="preserve"> PAGEREF _Toc24629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526F226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_Toc20194 </w:instrText>
          </w:r>
          <w:r>
            <w:fldChar w:fldCharType="separate"/>
          </w:r>
          <w:r>
            <w:t>2.2.1 四角色视图隔离与双布局工作台</w:t>
          </w:r>
          <w:r>
            <w:tab/>
          </w:r>
          <w:r>
            <w:fldChar w:fldCharType="begin"/>
          </w:r>
          <w:r>
            <w:instrText xml:space="preserve"> PAGEREF _Toc20194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9D9EDBE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_Toc20128 </w:instrText>
          </w:r>
          <w:r>
            <w:fldChar w:fldCharType="separate"/>
          </w:r>
          <w:r>
            <w:t>2.2.2 可视化态势与可追溯方案</w:t>
          </w:r>
          <w:r>
            <w:tab/>
          </w:r>
          <w:r>
            <w:fldChar w:fldCharType="begin"/>
          </w:r>
          <w:r>
            <w:instrText xml:space="preserve"> PAGEREF _Toc20128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ABAB95E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_Toc11075 </w:instrText>
          </w:r>
          <w:r>
            <w:fldChar w:fldCharType="separate"/>
          </w:r>
          <w:r>
            <w:t>2.2.3 资源锁定事务保护与冲突检测闭环</w:t>
          </w:r>
          <w:r>
            <w:tab/>
          </w:r>
          <w:r>
            <w:fldChar w:fldCharType="begin"/>
          </w:r>
          <w:r>
            <w:instrText xml:space="preserve"> PAGEREF _Toc11075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9A11971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_Toc1073 </w:instrText>
          </w:r>
          <w:r>
            <w:fldChar w:fldCharType="separate"/>
          </w:r>
          <w:r>
            <w:t>2.3 其他创新点</w:t>
          </w:r>
          <w:r>
            <w:tab/>
          </w:r>
          <w:r>
            <w:fldChar w:fldCharType="begin"/>
          </w:r>
          <w:r>
            <w:instrText xml:space="preserve"> PAGEREF _Toc1073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3B0206E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_Toc26005 </w:instrText>
          </w:r>
          <w:r>
            <w:fldChar w:fldCharType="separate"/>
          </w:r>
          <w:r>
            <w:t>2.3.1 权限与审计留痕</w:t>
          </w:r>
          <w:r>
            <w:tab/>
          </w:r>
          <w:r>
            <w:fldChar w:fldCharType="begin"/>
          </w:r>
          <w:r>
            <w:instrText xml:space="preserve"> PAGEREF _Toc26005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7F1F57E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_Toc4817 </w:instrText>
          </w:r>
          <w:r>
            <w:fldChar w:fldCharType="separate"/>
          </w:r>
          <w:r>
            <w:t>2.3.2 空间与关系双维度建模</w:t>
          </w:r>
          <w:r>
            <w:tab/>
          </w:r>
          <w:r>
            <w:fldChar w:fldCharType="begin"/>
          </w:r>
          <w:r>
            <w:instrText xml:space="preserve"> PAGEREF _Toc4817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BC7BD2B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_Toc5394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三、</w:t>
          </w:r>
          <w:r>
            <w:t>竞品分析</w:t>
          </w:r>
          <w:r>
            <w:tab/>
          </w:r>
          <w:r>
            <w:fldChar w:fldCharType="begin"/>
          </w:r>
          <w:r>
            <w:instrText xml:space="preserve"> PAGEREF _Toc5394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D0EFF98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_Toc13799 </w:instrText>
          </w:r>
          <w:r>
            <w:fldChar w:fldCharType="separate"/>
          </w:r>
          <w:r>
            <w:t>3.1 核心竞品对比</w:t>
          </w:r>
          <w:r>
            <w:tab/>
          </w:r>
          <w:r>
            <w:fldChar w:fldCharType="begin"/>
          </w:r>
          <w:r>
            <w:instrText xml:space="preserve"> PAGEREF _Toc13799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5BF9DB0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_Toc19534 </w:instrText>
          </w:r>
          <w:r>
            <w:fldChar w:fldCharType="separate"/>
          </w:r>
          <w:r>
            <w:t>3.2 竞争优势总结</w:t>
          </w:r>
          <w:r>
            <w:tab/>
          </w:r>
          <w:r>
            <w:fldChar w:fldCharType="begin"/>
          </w:r>
          <w:r>
            <w:instrText xml:space="preserve"> PAGEREF _Toc19534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756370D">
          <w:r>
            <w:fldChar w:fldCharType="end"/>
          </w:r>
        </w:p>
      </w:sdtContent>
    </w:sdt>
    <w:p w14:paraId="65290571"/>
    <w:p w14:paraId="45F0C645"/>
    <w:p w14:paraId="2088176D"/>
    <w:p w14:paraId="545E0755"/>
    <w:p w14:paraId="118CA537"/>
    <w:p w14:paraId="588A60C0"/>
    <w:p w14:paraId="0F9A2C12"/>
    <w:p w14:paraId="6C091B77"/>
    <w:p w14:paraId="345B086A"/>
    <w:p w14:paraId="335ECD08"/>
    <w:p w14:paraId="40D6BA6D"/>
    <w:p w14:paraId="0D37E180"/>
    <w:p w14:paraId="2C693D17"/>
    <w:p w14:paraId="3D406922"/>
    <w:p w14:paraId="1E0CD37E">
      <w:pPr>
        <w:pStyle w:val="2"/>
        <w:numPr>
          <w:numId w:val="0"/>
        </w:numPr>
        <w:ind w:leftChars="0"/>
        <w:rPr>
          <w:rFonts w:hint="eastAsia"/>
          <w:lang w:val="en-US" w:eastAsia="zh-CN"/>
        </w:rPr>
        <w:sectPr>
          <w:footerReference r:id="rId4" w:type="first"/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  <w:bookmarkStart w:id="1" w:name="_Toc26848"/>
    </w:p>
    <w:p w14:paraId="1FC28103">
      <w:pPr>
        <w:pStyle w:val="2"/>
        <w:numPr>
          <w:numId w:val="0"/>
        </w:numPr>
        <w:ind w:leftChars="0"/>
      </w:pPr>
      <w:r>
        <w:rPr>
          <w:rFonts w:hint="eastAsia"/>
          <w:lang w:val="en-US" w:eastAsia="zh-CN"/>
        </w:rPr>
        <w:t>一、</w:t>
      </w:r>
      <w:r>
        <w:t>痛点分析</w:t>
      </w:r>
      <w:bookmarkEnd w:id="0"/>
      <w:bookmarkEnd w:id="1"/>
    </w:p>
    <w:p w14:paraId="1F7C3136">
      <w:pPr>
        <w:pStyle w:val="4"/>
        <w:bidi w:val="0"/>
      </w:pPr>
      <w:bookmarkStart w:id="2" w:name="_Toc18450"/>
      <w:bookmarkStart w:id="3" w:name="_Toc26958"/>
      <w:r>
        <w:t>痛点概述</w:t>
      </w:r>
      <w:bookmarkEnd w:id="2"/>
      <w:bookmarkEnd w:id="3"/>
    </w:p>
    <w:p w14:paraId="6B076002">
      <w:pPr>
        <w:bidi w:val="0"/>
      </w:pPr>
      <w:r>
        <w:t>（1）信息分散、传递滞后：灾情以微信群、电话、Excel 多头报送，口径不一，指挥端难以第一时间掌握全域态势；</w:t>
      </w:r>
    </w:p>
    <w:p w14:paraId="03A28689">
      <w:pPr>
        <w:bidi w:val="0"/>
      </w:pPr>
      <w:r>
        <w:t>（2）方案依赖人工经验：处置方案靠少数骨干手工撰写，缺少历史预案与法规的知识支撑，质量与一致性难保障；</w:t>
      </w:r>
    </w:p>
    <w:p w14:paraId="170D6F74">
      <w:pPr>
        <w:bidi w:val="0"/>
      </w:pPr>
      <w:r>
        <w:t>（3）资源不透明、易超调：救援资源（队伍/车辆/物资/避难所）的可用量与锁定状态不清，易出现重复调度或超量调度；</w:t>
      </w:r>
    </w:p>
    <w:p w14:paraId="556821FF">
      <w:pPr>
        <w:bidi w:val="0"/>
      </w:pPr>
      <w:r>
        <w:t>（4）空间与关系割裂：地理位置（空间）与"灾情—资源—调度"关系各自为政，态势感知不直观、调度决策缺依据。</w:t>
      </w:r>
    </w:p>
    <w:p w14:paraId="09D77028">
      <w:pPr>
        <w:jc w:val="center"/>
      </w:pPr>
      <w:r>
        <w:drawing>
          <wp:inline distT="0" distB="0" distL="114300" distR="114300">
            <wp:extent cx="5029200" cy="229997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0EAD">
      <w:pPr>
        <w:pStyle w:val="14"/>
        <w:jc w:val="center"/>
      </w:pPr>
      <w:r>
        <w:t>图 1 多源数据孤岛与平台化协同构想</w:t>
      </w:r>
    </w:p>
    <w:p w14:paraId="182F8B38">
      <w:pPr>
        <w:pStyle w:val="4"/>
        <w:bidi w:val="0"/>
      </w:pPr>
      <w:bookmarkStart w:id="4" w:name="_Toc20901"/>
      <w:r>
        <w:t xml:space="preserve"> </w:t>
      </w:r>
      <w:bookmarkStart w:id="5" w:name="_Toc22695"/>
      <w:r>
        <w:t>相关工作</w:t>
      </w:r>
      <w:bookmarkEnd w:id="4"/>
      <w:bookmarkEnd w:id="5"/>
    </w:p>
    <w:p w14:paraId="04642FC8">
      <w:pPr>
        <w:bidi w:val="0"/>
      </w:pPr>
      <w:bookmarkStart w:id="6" w:name="_Toc2517"/>
      <w:r>
        <w:t>主流应急系统现状</w:t>
      </w:r>
      <w:bookmarkEnd w:id="6"/>
    </w:p>
    <w:p w14:paraId="63058F80">
      <w:pPr>
        <w:bidi w:val="0"/>
      </w:pPr>
      <w:r>
        <w:t>（1）单点能力系统多：如单灾种监测、单部门填报系统应用较广，但缺少面向多角色协同的闭环平台；</w:t>
      </w:r>
    </w:p>
    <w:p w14:paraId="1E0EF710">
      <w:pPr>
        <w:bidi w:val="0"/>
      </w:pPr>
      <w:r>
        <w:t>（2）流程型平台为主：以表单流转与审批为核心，未充分引入知识库与大模型辅助决策；</w:t>
      </w:r>
    </w:p>
    <w:p w14:paraId="3CD98DB0">
      <w:pPr>
        <w:bidi w:val="0"/>
      </w:pPr>
      <w:r>
        <w:t>（3）可视化尝试零散：部分系统已用 GIS 做地图展示，但空间数据、业务数据与图数据往往割裂。</w:t>
      </w:r>
    </w:p>
    <w:p w14:paraId="2CEAF61F">
      <w:pPr>
        <w:pStyle w:val="5"/>
      </w:pPr>
      <w:bookmarkStart w:id="7" w:name="_Toc6011"/>
      <w:bookmarkStart w:id="8" w:name="_Toc23967"/>
      <w:r>
        <w:t>现有工作核心不足</w:t>
      </w:r>
      <w:bookmarkEnd w:id="7"/>
      <w:bookmarkEnd w:id="8"/>
    </w:p>
    <w:p w14:paraId="25EF3E78">
      <w:pPr>
        <w:bidi w:val="0"/>
      </w:pPr>
      <w:r>
        <w:t>（1）知识未沉淀复用：历史预案与法规散落文档，未被结构化检索，处置时难以即时调用；</w:t>
      </w:r>
    </w:p>
    <w:p w14:paraId="2CE823DB">
      <w:pPr>
        <w:bidi w:val="0"/>
      </w:pPr>
      <w:r>
        <w:t>（2）决策无 AI 辅助：事件处置缺"抽取—检索—生成—审查"的 Agent 链路，方案质量依赖个人；</w:t>
      </w:r>
    </w:p>
    <w:p w14:paraId="57FB9201">
      <w:pPr>
        <w:bidi w:val="0"/>
      </w:pPr>
      <w:r>
        <w:t>（3）数据一致性缺保障：关系型业务库与图数据库各自为政，SQL↔Neo4j 双写无机制；</w:t>
      </w:r>
    </w:p>
    <w:p w14:paraId="646A6631">
      <w:pPr>
        <w:bidi w:val="0"/>
      </w:pPr>
      <w:r>
        <w:t>（4）多角色不隔离：共用界面存在越权与误操作风险，缺少按角色的视图与权限隔离。</w:t>
      </w:r>
    </w:p>
    <w:p w14:paraId="13674E32">
      <w:pPr>
        <w:pStyle w:val="2"/>
        <w:numPr>
          <w:numId w:val="0"/>
        </w:numPr>
        <w:bidi w:val="0"/>
        <w:ind w:leftChars="0"/>
      </w:pPr>
      <w:bookmarkStart w:id="9" w:name="_Toc27925"/>
      <w:bookmarkStart w:id="10" w:name="_Toc9952"/>
      <w:r>
        <w:rPr>
          <w:rFonts w:hint="eastAsia"/>
          <w:lang w:val="en-US" w:eastAsia="zh-CN"/>
        </w:rPr>
        <w:t>二、</w:t>
      </w:r>
      <w:r>
        <w:t>项目创新点</w:t>
      </w:r>
      <w:bookmarkEnd w:id="9"/>
      <w:bookmarkEnd w:id="10"/>
    </w:p>
    <w:p w14:paraId="5213CF81">
      <w:pPr>
        <w:pStyle w:val="4"/>
        <w:numPr>
          <w:numId w:val="0"/>
        </w:numPr>
        <w:bidi w:val="0"/>
        <w:ind w:leftChars="0"/>
      </w:pPr>
      <w:bookmarkStart w:id="11" w:name="_Toc19730"/>
      <w:bookmarkStart w:id="12" w:name="_Toc3860"/>
      <w:r>
        <w:t>2.1 技术性创新点</w:t>
      </w:r>
      <w:bookmarkEnd w:id="11"/>
      <w:bookmarkEnd w:id="12"/>
    </w:p>
    <w:p w14:paraId="505A78CF">
      <w:pPr>
        <w:pStyle w:val="5"/>
        <w:numPr>
          <w:numId w:val="0"/>
        </w:numPr>
        <w:bidi w:val="0"/>
        <w:ind w:leftChars="0"/>
      </w:pPr>
      <w:bookmarkStart w:id="13" w:name="_Toc13675"/>
      <w:bookmarkStart w:id="14" w:name="_Toc25922"/>
      <w:r>
        <w:t>2.1.1 多源灾情统一采集与态势聚合</w:t>
      </w:r>
      <w:bookmarkEnd w:id="13"/>
      <w:bookmarkEnd w:id="14"/>
    </w:p>
    <w:p w14:paraId="7AD5565B">
      <w:pPr>
        <w:bidi w:val="0"/>
        <w:ind w:firstLine="210" w:firstLineChars="0"/>
      </w:pPr>
      <w:r>
        <w:t>以 data-pipeline 服务采集云南网灾情新闻与 16 州市天气预报，经 SSE 实时推送前端；前端用 ECharts 统计与高德地图标点做态势聚合，把"分散信息"收敛为"统一态势"，显著降低信息滞后。</w:t>
      </w:r>
    </w:p>
    <w:p w14:paraId="1873655B">
      <w:pPr>
        <w:pStyle w:val="5"/>
        <w:numPr>
          <w:numId w:val="0"/>
        </w:numPr>
        <w:bidi w:val="0"/>
        <w:ind w:leftChars="0"/>
      </w:pPr>
      <w:bookmarkStart w:id="15" w:name="_Toc9060"/>
      <w:bookmarkStart w:id="16" w:name="_Toc26182"/>
      <w:r>
        <w:t>2.1.2 状态机约束的事件可控流转</w:t>
      </w:r>
      <w:bookmarkEnd w:id="15"/>
      <w:bookmarkEnd w:id="16"/>
    </w:p>
    <w:p w14:paraId="7065BE45">
      <w:pPr>
        <w:bidi w:val="0"/>
        <w:ind w:firstLine="210" w:firstLineChars="0"/>
      </w:pPr>
      <w:r>
        <w:t>定义 IncidentStatus 枚举与 IncidentStateMachineService，集中校验合法跃迁（待核验→已确认→处置中→已结束，处置中可退回已确认），每次流转记录审计并经 WebSocket 推送，使处置过程可退回、可审计、多端一致。</w:t>
      </w:r>
    </w:p>
    <w:p w14:paraId="03830696">
      <w:pPr>
        <w:pStyle w:val="5"/>
        <w:numPr>
          <w:numId w:val="0"/>
        </w:numPr>
        <w:bidi w:val="0"/>
        <w:ind w:leftChars="0"/>
      </w:pPr>
      <w:bookmarkStart w:id="17" w:name="_Toc25761"/>
      <w:bookmarkStart w:id="18" w:name="_Toc2239"/>
      <w:r>
        <w:t>2.1.3 RAG + Agent 双知识库方案生成与兜底</w:t>
      </w:r>
      <w:bookmarkEnd w:id="17"/>
      <w:bookmarkEnd w:id="18"/>
    </w:p>
    <w:p w14:paraId="2A3E5121">
      <w:pPr>
        <w:bidi w:val="0"/>
        <w:ind w:firstLine="210" w:firstLineChars="0"/>
      </w:pPr>
      <w:r>
        <w:t>ai-service 对接 Dify 工作流与两个知识库（优化调度、风险评估）实现 RAG 检索与方案生成；以"抽取—检索—生成—审查"Agent 链路组织流程；Dify 不可用时自动降级 DeepSeek 直出，实现模型可插拔与高可用。</w:t>
      </w:r>
    </w:p>
    <w:p w14:paraId="42BFAF52">
      <w:pPr>
        <w:jc w:val="center"/>
      </w:pPr>
      <w:r>
        <w:drawing>
          <wp:inline distT="0" distB="0" distL="114300" distR="114300">
            <wp:extent cx="5029200" cy="229997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846B">
      <w:pPr>
        <w:pStyle w:val="14"/>
        <w:jc w:val="center"/>
      </w:pPr>
      <w:r>
        <w:t>图 2 AI 应急方案生成数据流</w:t>
      </w:r>
    </w:p>
    <w:p w14:paraId="03629DB7">
      <w:pPr>
        <w:pStyle w:val="4"/>
        <w:numPr>
          <w:numId w:val="0"/>
        </w:numPr>
        <w:ind w:leftChars="0"/>
      </w:pPr>
      <w:bookmarkStart w:id="19" w:name="_Toc16093"/>
      <w:bookmarkStart w:id="20" w:name="_Toc24629"/>
      <w:r>
        <w:t>2.2 功能性创新点</w:t>
      </w:r>
      <w:bookmarkEnd w:id="19"/>
      <w:bookmarkEnd w:id="20"/>
    </w:p>
    <w:p w14:paraId="66D25FE9">
      <w:pPr>
        <w:pStyle w:val="5"/>
        <w:numPr>
          <w:numId w:val="0"/>
        </w:numPr>
        <w:ind w:leftChars="0"/>
      </w:pPr>
      <w:bookmarkStart w:id="21" w:name="_Toc22525"/>
      <w:bookmarkStart w:id="22" w:name="_Toc20194"/>
      <w:r>
        <w:t>2.2.1 四角色视图隔离与双布局工作台</w:t>
      </w:r>
      <w:bookmarkEnd w:id="21"/>
      <w:bookmarkEnd w:id="22"/>
    </w:p>
    <w:p w14:paraId="3CF6EA64">
      <w:pPr>
        <w:bidi w:val="0"/>
        <w:ind w:firstLine="210" w:firstLineChars="0"/>
      </w:pPr>
      <w:r>
        <w:t>按 route.meta.roles 过滤菜单，信息员/指挥员用横向顶栏布局、资源管理员/系统管理员用竖向侧边栏布局，登录即进入对应工作场景，从界面层杜绝越权与误操作。</w:t>
      </w:r>
    </w:p>
    <w:p w14:paraId="314F467C">
      <w:pPr>
        <w:pStyle w:val="5"/>
        <w:numPr>
          <w:numId w:val="0"/>
        </w:numPr>
        <w:ind w:leftChars="0"/>
      </w:pPr>
      <w:bookmarkStart w:id="23" w:name="_Toc20504"/>
      <w:bookmarkStart w:id="24" w:name="_Toc20128"/>
      <w:r>
        <w:t>2.2.2 可视化态势与可追溯方案</w:t>
      </w:r>
      <w:bookmarkEnd w:id="23"/>
      <w:bookmarkEnd w:id="24"/>
    </w:p>
    <w:p w14:paraId="42FAE458">
      <w:pPr>
        <w:bidi w:val="0"/>
        <w:ind w:firstLine="210" w:firstLineChars="0"/>
      </w:pPr>
      <w:r>
        <w:t>态势大屏以 ECharts 统计 + 高德地图标点呈现灾情分布；调度看板以 vis-network 图展示事件—资源—调度关系；AI 方案经 agent_runs/citations 记录引用来源，方案可解释、可追溯。</w:t>
      </w:r>
    </w:p>
    <w:p w14:paraId="0B58547C">
      <w:pPr>
        <w:pStyle w:val="5"/>
        <w:numPr>
          <w:numId w:val="0"/>
        </w:numPr>
        <w:ind w:leftChars="0"/>
      </w:pPr>
      <w:bookmarkStart w:id="25" w:name="_Toc11400"/>
      <w:bookmarkStart w:id="26" w:name="_Toc11075"/>
      <w:r>
        <w:t>2.2.3 资源锁定事务保护与冲突检测闭环</w:t>
      </w:r>
      <w:bookmarkEnd w:id="25"/>
      <w:bookmarkEnd w:id="26"/>
    </w:p>
    <w:p w14:paraId="3D99C1CF">
      <w:pPr>
        <w:bidi w:val="0"/>
        <w:ind w:firstLine="210" w:firstLineChars="0"/>
      </w:pPr>
      <w:r>
        <w:t>ResourceLockService 在 @Transactional 事务内检查可用量、锁定资源、创建调度单并同步 Neo4j，任一环节失败整体回滚；可用量不足即返回冲突错误；事件结束后按事件批量释放并回补可用量，形成资源安全闭环。</w:t>
      </w:r>
    </w:p>
    <w:p w14:paraId="4A65C3AC">
      <w:pPr>
        <w:jc w:val="center"/>
      </w:pPr>
      <w:r>
        <w:drawing>
          <wp:inline distT="0" distB="0" distL="114300" distR="114300">
            <wp:extent cx="4114800" cy="27933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9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E5A4">
      <w:pPr>
        <w:pStyle w:val="14"/>
        <w:jc w:val="center"/>
      </w:pPr>
      <w:r>
        <w:t>图 3 资源锁定与冲突检测流程</w:t>
      </w:r>
    </w:p>
    <w:p w14:paraId="52848A47">
      <w:pPr>
        <w:pStyle w:val="4"/>
        <w:numPr>
          <w:numId w:val="0"/>
        </w:numPr>
        <w:ind w:leftChars="0"/>
      </w:pPr>
      <w:bookmarkStart w:id="27" w:name="_Toc23394"/>
      <w:bookmarkStart w:id="28" w:name="_Toc1073"/>
      <w:r>
        <w:t>2.3 其他创新点</w:t>
      </w:r>
      <w:bookmarkEnd w:id="27"/>
      <w:bookmarkEnd w:id="28"/>
    </w:p>
    <w:p w14:paraId="50FA78AC">
      <w:pPr>
        <w:pStyle w:val="5"/>
        <w:numPr>
          <w:numId w:val="0"/>
        </w:numPr>
        <w:ind w:leftChars="0"/>
      </w:pPr>
      <w:bookmarkStart w:id="29" w:name="_Toc2822"/>
      <w:bookmarkStart w:id="30" w:name="_Toc26005"/>
      <w:r>
        <w:t>2.3.1 权限与审计留痕</w:t>
      </w:r>
      <w:bookmarkEnd w:id="29"/>
      <w:bookmarkEnd w:id="30"/>
    </w:p>
    <w:p w14:paraId="3DF1320E">
      <w:pPr>
        <w:bidi w:val="0"/>
        <w:ind w:firstLine="210" w:firstLineChars="0"/>
      </w:pPr>
      <w:r>
        <w:t>Spring Security + JWT 做认证，@PreAuthorize 按角色做接口级 RBAC；@AuditLog AOP 切面统一记录操作人、模块、IP、耗时与结果，覆盖关键业务操作，满足应急场景下的责任追溯要求。</w:t>
      </w:r>
    </w:p>
    <w:p w14:paraId="0C58588E">
      <w:pPr>
        <w:pStyle w:val="5"/>
        <w:numPr>
          <w:numId w:val="0"/>
        </w:numPr>
        <w:bidi w:val="0"/>
        <w:ind w:leftChars="0"/>
      </w:pPr>
      <w:bookmarkStart w:id="31" w:name="_Toc28023"/>
      <w:bookmarkStart w:id="32" w:name="_Toc4817"/>
      <w:r>
        <w:t>2.3.2 空间与关系双维度建模</w:t>
      </w:r>
      <w:bookmarkEnd w:id="31"/>
      <w:bookmarkEnd w:id="32"/>
    </w:p>
    <w:p w14:paraId="1448E483">
      <w:pPr>
        <w:bidi w:val="0"/>
        <w:ind w:firstLine="210" w:firstLineChars="0"/>
      </w:pPr>
      <w:r>
        <w:t>locations.geom 用 MySQL 原生 GEOMETRY + SPATIAL INDEX 表达地理位置；Neo4j 属性图表达灾情—资源—调度关系。空间与关系双维度结合，使调度决策既有"在哪"也有"给谁"，态势感知更直观。</w:t>
      </w:r>
    </w:p>
    <w:p w14:paraId="0E47B246">
      <w:pPr>
        <w:pStyle w:val="2"/>
        <w:numPr>
          <w:numId w:val="0"/>
        </w:numPr>
        <w:ind w:leftChars="0"/>
      </w:pPr>
      <w:bookmarkStart w:id="33" w:name="_Toc16442"/>
      <w:bookmarkStart w:id="34" w:name="_Toc5394"/>
      <w:r>
        <w:rPr>
          <w:rFonts w:hint="eastAsia"/>
          <w:lang w:val="en-US" w:eastAsia="zh-CN"/>
        </w:rPr>
        <w:t>三、</w:t>
      </w:r>
      <w:r>
        <w:t>竞品分析</w:t>
      </w:r>
      <w:bookmarkEnd w:id="33"/>
      <w:bookmarkEnd w:id="34"/>
    </w:p>
    <w:p w14:paraId="4EA33141">
      <w:pPr>
        <w:pStyle w:val="4"/>
        <w:numPr>
          <w:numId w:val="0"/>
        </w:numPr>
        <w:ind w:leftChars="0"/>
      </w:pPr>
      <w:bookmarkStart w:id="35" w:name="_Toc12060"/>
      <w:bookmarkStart w:id="36" w:name="_Toc13799"/>
      <w:r>
        <w:t>3.1 核心竞品对比</w:t>
      </w:r>
      <w:bookmarkEnd w:id="35"/>
      <w:bookmarkEnd w:id="36"/>
    </w:p>
    <w:p w14:paraId="584D5315">
      <w:pPr>
        <w:pStyle w:val="14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同行对比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4D0A7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</w:tcPr>
          <w:p w14:paraId="33F7C997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对比维度</w:t>
            </w:r>
          </w:p>
        </w:tc>
        <w:tc>
          <w:tcPr>
            <w:tcW w:w="2076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</w:tcPr>
          <w:p w14:paraId="2FA79FC7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本项目</w:t>
            </w:r>
          </w:p>
        </w:tc>
        <w:tc>
          <w:tcPr>
            <w:tcW w:w="2076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</w:tcPr>
          <w:p w14:paraId="525FA9B0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通用协同办公平台</w:t>
            </w:r>
          </w:p>
        </w:tc>
        <w:tc>
          <w:tcPr>
            <w:tcW w:w="2076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</w:tcPr>
          <w:p w14:paraId="056526BE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专业 GIS 应急软件</w:t>
            </w:r>
          </w:p>
        </w:tc>
      </w:tr>
      <w:tr w14:paraId="03859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12" w:space="0"/>
              <w:left w:val="nil"/>
              <w:bottom w:val="nil"/>
              <w:right w:val="nil"/>
            </w:tcBorders>
          </w:tcPr>
          <w:p w14:paraId="2414D2AC">
            <w:pPr>
              <w:bidi w:val="0"/>
            </w:pPr>
            <w:r>
              <w:t>业务闭环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nil"/>
              <w:right w:val="nil"/>
            </w:tcBorders>
          </w:tcPr>
          <w:p w14:paraId="1989A3AD">
            <w:pPr>
              <w:bidi w:val="0"/>
            </w:pPr>
            <w:r>
              <w:t>上报→审核→AI方案→调度→释放完整闭环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nil"/>
              <w:right w:val="nil"/>
            </w:tcBorders>
          </w:tcPr>
          <w:p w14:paraId="21612FD5">
            <w:pPr>
              <w:bidi w:val="0"/>
            </w:pPr>
            <w:r>
              <w:t>以表单/流程为主，无 AI 方案生成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nil"/>
              <w:right w:val="nil"/>
            </w:tcBorders>
          </w:tcPr>
          <w:p w14:paraId="17C10E5E">
            <w:pPr>
              <w:bidi w:val="0"/>
            </w:pPr>
            <w:r>
              <w:t>侧重地图与单灾种分析，缺协同调度闭环</w:t>
            </w:r>
          </w:p>
        </w:tc>
      </w:tr>
      <w:tr w14:paraId="66153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7CAF1428">
            <w:pPr>
              <w:bidi w:val="0"/>
            </w:pPr>
            <w:r>
              <w:t>AI 辅助决策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547500CB">
            <w:pPr>
              <w:bidi w:val="0"/>
            </w:pPr>
            <w:r>
              <w:t>Dify RAG + Agent 链路 + DeepSeek 兜底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48C4F1FE">
            <w:pPr>
              <w:bidi w:val="0"/>
            </w:pPr>
            <w:r>
              <w:t>无或仅简单规则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0A2CD3E1">
            <w:pPr>
              <w:bidi w:val="0"/>
            </w:pPr>
            <w:r>
              <w:t>少数支持，多为定制、成本高</w:t>
            </w:r>
          </w:p>
        </w:tc>
      </w:tr>
      <w:tr w14:paraId="434ED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71B029CF">
            <w:pPr>
              <w:bidi w:val="0"/>
            </w:pPr>
            <w:r>
              <w:t>多角色隔离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546C59FC">
            <w:pPr>
              <w:bidi w:val="0"/>
            </w:pPr>
            <w:r>
              <w:t>四角色视图 + 接口级 RBAC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6464761D">
            <w:pPr>
              <w:bidi w:val="0"/>
            </w:pPr>
            <w:r>
              <w:t>按账号权限，缺专用工作台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37BA3FBF">
            <w:pPr>
              <w:bidi w:val="0"/>
            </w:pPr>
            <w:r>
              <w:t>按账号，界面未做角色化</w:t>
            </w:r>
          </w:p>
        </w:tc>
      </w:tr>
      <w:tr w14:paraId="19639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39AD0D0D">
            <w:pPr>
              <w:bidi w:val="0"/>
            </w:pPr>
            <w:r>
              <w:t>资源调度闭环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339756BD">
            <w:pPr>
              <w:bidi w:val="0"/>
            </w:pPr>
            <w:r>
              <w:t>事务锁定 + 冲突检测 + 批量释放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1D191BE7">
            <w:pPr>
              <w:bidi w:val="0"/>
            </w:pPr>
            <w:r>
              <w:t>无资源锁定语义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55EF1220">
            <w:pPr>
              <w:bidi w:val="0"/>
            </w:pPr>
            <w:r>
              <w:t>有资源图层，缺事务与冲突检测</w:t>
            </w:r>
          </w:p>
        </w:tc>
      </w:tr>
      <w:tr w14:paraId="0688B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6BD837BA">
            <w:pPr>
              <w:bidi w:val="0"/>
            </w:pPr>
            <w:r>
              <w:t>空间+关系双维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787EF93F">
            <w:pPr>
              <w:bidi w:val="0"/>
            </w:pPr>
            <w:r>
              <w:t>MySQL 空间索引 + Neo4j 图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43A92911">
            <w:pPr>
              <w:bidi w:val="0"/>
            </w:pPr>
            <w:r>
              <w:t>弱（仅简单坐标）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047F3361">
            <w:pPr>
              <w:bidi w:val="0"/>
            </w:pPr>
            <w:r>
              <w:t>强（GIS）但图关系弱</w:t>
            </w:r>
          </w:p>
        </w:tc>
      </w:tr>
      <w:tr w14:paraId="6E74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0C0C152F">
            <w:pPr>
              <w:bidi w:val="0"/>
            </w:pPr>
            <w:r>
              <w:t>部署与成本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63B3C1B4">
            <w:pPr>
              <w:bidi w:val="0"/>
            </w:pPr>
            <w:r>
              <w:t>Docker Compose 一键 7 服务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7B87D2E7">
            <w:pPr>
              <w:bidi w:val="0"/>
            </w:pPr>
            <w:r>
              <w:t>SaaS 订阅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0807A2BB">
            <w:pPr>
              <w:bidi w:val="0"/>
            </w:pPr>
            <w:r>
              <w:t>本地部署，授权昂贵</w:t>
            </w:r>
          </w:p>
        </w:tc>
      </w:tr>
    </w:tbl>
    <w:p w14:paraId="786F2A89">
      <w:pPr>
        <w:pStyle w:val="4"/>
        <w:numPr>
          <w:numId w:val="0"/>
        </w:numPr>
        <w:ind w:leftChars="0"/>
      </w:pPr>
      <w:bookmarkStart w:id="37" w:name="_Toc27811"/>
      <w:bookmarkStart w:id="38" w:name="_Toc19534"/>
      <w:r>
        <w:t>3.2 竞争优势总结</w:t>
      </w:r>
      <w:bookmarkEnd w:id="37"/>
      <w:bookmarkEnd w:id="38"/>
    </w:p>
    <w:p w14:paraId="4703612C">
      <w:pPr>
        <w:bidi w:val="0"/>
      </w:pPr>
      <w:r>
        <w:t>（1）垂直整合：相较通用办公平台，本平台针对"审核流转 + AI 方案 + 资源调度"做了端到端闭环，而非通用流程；</w:t>
      </w:r>
    </w:p>
    <w:p w14:paraId="6E6EBA7C">
      <w:pPr>
        <w:bidi w:val="0"/>
      </w:pPr>
      <w:r>
        <w:t>（2）决策增强：相较传统 GIS 软件，本平台引入 RAG/Agent 辅助方案并兜底，处置更科学、可追溯；</w:t>
      </w:r>
    </w:p>
    <w:p w14:paraId="6DC879F2">
      <w:pPr>
        <w:bidi w:val="0"/>
      </w:pPr>
      <w:r>
        <w:t>（3）资源安全：相较仅有资源图层的系统，本平台提供事务锁定、冲突检测与批量释放，避免超调；</w:t>
      </w:r>
    </w:p>
    <w:p w14:paraId="64A30500">
      <w:pPr>
        <w:bidi w:val="0"/>
      </w:pPr>
      <w:r>
        <w:t>（4）轻量与自主：以 Docker Compose 一键部署、模型可插拔，相较定制大屏方案成本更低、迭代更快。</w:t>
      </w:r>
    </w:p>
    <w:p w14:paraId="38D8E189">
      <w:pPr>
        <w:jc w:val="center"/>
      </w:pPr>
      <w:r>
        <w:drawing>
          <wp:inline distT="0" distB="0" distL="114300" distR="114300">
            <wp:extent cx="5303520" cy="3042285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4504">
      <w:pPr>
        <w:pStyle w:val="14"/>
        <w:jc w:val="center"/>
      </w:pPr>
      <w:r>
        <w:t>图 4 四角色功能模块与视图隔离</w:t>
      </w:r>
    </w:p>
    <w:sectPr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BE3F8">
    <w:pPr>
      <w:pStyle w:val="2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645E6"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 w14:paraId="4FDB77B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B75CB">
    <w:pPr>
      <w:pStyle w:val="2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34311">
                          <w:pPr>
                            <w:pStyle w:val="26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j4ptR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34311">
                    <w:pPr>
                      <w:pStyle w:val="26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8"/>
                      </w:rPr>
                      <w:t>1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3F46"/>
    <w:rsid w:val="00006119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96A21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0263"/>
    <w:rsid w:val="00192EC7"/>
    <w:rsid w:val="00196EB5"/>
    <w:rsid w:val="001E17C8"/>
    <w:rsid w:val="001E525E"/>
    <w:rsid w:val="001F1D44"/>
    <w:rsid w:val="00201BC2"/>
    <w:rsid w:val="00211CB0"/>
    <w:rsid w:val="00222770"/>
    <w:rsid w:val="00222D3D"/>
    <w:rsid w:val="002242C6"/>
    <w:rsid w:val="00240F03"/>
    <w:rsid w:val="002621E2"/>
    <w:rsid w:val="002710B8"/>
    <w:rsid w:val="00280E7C"/>
    <w:rsid w:val="00295AB6"/>
    <w:rsid w:val="002B6C8A"/>
    <w:rsid w:val="002D7068"/>
    <w:rsid w:val="002E65CA"/>
    <w:rsid w:val="00311858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08B2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A6B2D"/>
    <w:rsid w:val="005B4AEA"/>
    <w:rsid w:val="005B5BE5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2EE4"/>
    <w:rsid w:val="006C4997"/>
    <w:rsid w:val="006D45A1"/>
    <w:rsid w:val="006F3270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E01BD"/>
    <w:rsid w:val="008F347E"/>
    <w:rsid w:val="008F4A88"/>
    <w:rsid w:val="008F7A80"/>
    <w:rsid w:val="009076B9"/>
    <w:rsid w:val="00914CEF"/>
    <w:rsid w:val="00941021"/>
    <w:rsid w:val="00941174"/>
    <w:rsid w:val="0095122C"/>
    <w:rsid w:val="00955853"/>
    <w:rsid w:val="0096658A"/>
    <w:rsid w:val="009915C8"/>
    <w:rsid w:val="00992F99"/>
    <w:rsid w:val="009B54DC"/>
    <w:rsid w:val="009C23FD"/>
    <w:rsid w:val="009D236E"/>
    <w:rsid w:val="009E73FD"/>
    <w:rsid w:val="009F5184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6BED"/>
    <w:rsid w:val="00C8710B"/>
    <w:rsid w:val="00C9368B"/>
    <w:rsid w:val="00CA2EF8"/>
    <w:rsid w:val="00CA7A6C"/>
    <w:rsid w:val="00CB40CA"/>
    <w:rsid w:val="00CB4C5A"/>
    <w:rsid w:val="00CB541E"/>
    <w:rsid w:val="00CC6493"/>
    <w:rsid w:val="00CD5B54"/>
    <w:rsid w:val="00CF64C6"/>
    <w:rsid w:val="00D0172C"/>
    <w:rsid w:val="00D01DC2"/>
    <w:rsid w:val="00D052E6"/>
    <w:rsid w:val="00D254CA"/>
    <w:rsid w:val="00D341C2"/>
    <w:rsid w:val="00D479D9"/>
    <w:rsid w:val="00D5128C"/>
    <w:rsid w:val="00D5774B"/>
    <w:rsid w:val="00D679E8"/>
    <w:rsid w:val="00D712D6"/>
    <w:rsid w:val="00D8209D"/>
    <w:rsid w:val="00D84B7D"/>
    <w:rsid w:val="00D940ED"/>
    <w:rsid w:val="00D945AE"/>
    <w:rsid w:val="00D95E20"/>
    <w:rsid w:val="00DD1576"/>
    <w:rsid w:val="00DE662E"/>
    <w:rsid w:val="00DF2056"/>
    <w:rsid w:val="00DF54DC"/>
    <w:rsid w:val="00DF63F5"/>
    <w:rsid w:val="00E009B9"/>
    <w:rsid w:val="00E01DD9"/>
    <w:rsid w:val="00E030D8"/>
    <w:rsid w:val="00E1187F"/>
    <w:rsid w:val="00E16A1D"/>
    <w:rsid w:val="00E1790E"/>
    <w:rsid w:val="00E207C7"/>
    <w:rsid w:val="00E30F27"/>
    <w:rsid w:val="00E51EA8"/>
    <w:rsid w:val="00E56E00"/>
    <w:rsid w:val="00E72F02"/>
    <w:rsid w:val="00E8066A"/>
    <w:rsid w:val="00E81E1B"/>
    <w:rsid w:val="00E95DD2"/>
    <w:rsid w:val="00EA4CCA"/>
    <w:rsid w:val="00EB173D"/>
    <w:rsid w:val="00EB34DB"/>
    <w:rsid w:val="00EB5ED1"/>
    <w:rsid w:val="00ED0295"/>
    <w:rsid w:val="00ED1508"/>
    <w:rsid w:val="00EE12D6"/>
    <w:rsid w:val="00EF5ED4"/>
    <w:rsid w:val="00F06924"/>
    <w:rsid w:val="00F144DB"/>
    <w:rsid w:val="00F359AB"/>
    <w:rsid w:val="00F362E0"/>
    <w:rsid w:val="00F40B28"/>
    <w:rsid w:val="00F613F6"/>
    <w:rsid w:val="00F6541F"/>
    <w:rsid w:val="00F85D32"/>
    <w:rsid w:val="00F91C72"/>
    <w:rsid w:val="00F94865"/>
    <w:rsid w:val="00F9660A"/>
    <w:rsid w:val="00FA7078"/>
    <w:rsid w:val="00FB34B3"/>
    <w:rsid w:val="00FB7627"/>
    <w:rsid w:val="00FD7BAA"/>
    <w:rsid w:val="00FE5527"/>
    <w:rsid w:val="00FE5CA8"/>
    <w:rsid w:val="00FF7387"/>
    <w:rsid w:val="03160F30"/>
    <w:rsid w:val="04E11CA6"/>
    <w:rsid w:val="054662BE"/>
    <w:rsid w:val="07A33243"/>
    <w:rsid w:val="08B51480"/>
    <w:rsid w:val="09553E7D"/>
    <w:rsid w:val="1134315E"/>
    <w:rsid w:val="119F43A3"/>
    <w:rsid w:val="1255782F"/>
    <w:rsid w:val="16172D30"/>
    <w:rsid w:val="16714FDF"/>
    <w:rsid w:val="17342109"/>
    <w:rsid w:val="17B31280"/>
    <w:rsid w:val="189310B2"/>
    <w:rsid w:val="1A75281D"/>
    <w:rsid w:val="223B7C6A"/>
    <w:rsid w:val="22F34181"/>
    <w:rsid w:val="26CC5EBA"/>
    <w:rsid w:val="2A3F69A3"/>
    <w:rsid w:val="31CA56EC"/>
    <w:rsid w:val="34B47F8E"/>
    <w:rsid w:val="35BA2068"/>
    <w:rsid w:val="3A540249"/>
    <w:rsid w:val="3B196D9D"/>
    <w:rsid w:val="3C62022E"/>
    <w:rsid w:val="3FBE7F13"/>
    <w:rsid w:val="3FEB51AC"/>
    <w:rsid w:val="41632549"/>
    <w:rsid w:val="42044303"/>
    <w:rsid w:val="4E4F7F62"/>
    <w:rsid w:val="4F9F1B0F"/>
    <w:rsid w:val="5A9B41A7"/>
    <w:rsid w:val="631A1780"/>
    <w:rsid w:val="6646288C"/>
    <w:rsid w:val="7704004B"/>
    <w:rsid w:val="796E7CD8"/>
    <w:rsid w:val="7CF23A78"/>
    <w:rsid w:val="7E3E236F"/>
    <w:rsid w:val="7EC328D2"/>
    <w:rsid w:val="7F7E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jc w:val="left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jc w:val="left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rFonts w:eastAsia="宋体"/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pPr>
      <w:jc w:val="center"/>
    </w:pPr>
    <w:rPr>
      <w:rFonts w:eastAsia="黑体" w:asciiTheme="majorAscii" w:hAnsiTheme="majorAscii" w:cstheme="majorBidi"/>
      <w:b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 w:eastAsia="宋体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styleId="185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326EEA-B91A-46EB-8971-5A85EAFC7A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7</Pages>
  <Words>1864</Words>
  <Characters>2467</Characters>
  <Lines>7</Lines>
  <Paragraphs>2</Paragraphs>
  <TotalTime>8</TotalTime>
  <ScaleCrop>false</ScaleCrop>
  <LinksUpToDate>false</LinksUpToDate>
  <CharactersWithSpaces>2636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西东</cp:lastModifiedBy>
  <dcterms:modified xsi:type="dcterms:W3CDTF">2026-07-28T08:25:40Z</dcterms:modified>
  <dc:title>作品创新性分析报告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7303D3150BC04A079D60B0FB7D6F1E6D_13</vt:lpwstr>
  </property>
  <property fmtid="{D5CDD505-2E9C-101B-9397-08002B2CF9AE}" pid="4" name="KSOTemplateDocerSaveRecord">
    <vt:lpwstr>eyJoZGlkIjoiZGI4Nzg1MjdhNTliYjRiMGIxYmRhZWRkMGY2MGVkMzciLCJ1c2VySWQiOiIxNDM2MDg5MTM0In0=</vt:lpwstr>
  </property>
</Properties>
</file>