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360" w:lineRule="auto" w:before="240" w:after="240"/>
        <w:jc w:val="center"/>
      </w:pPr>
      <w:r>
        <w:rPr>
          <w:rFonts w:ascii="黑体" w:hAnsi="黑体" w:eastAsia="黑体"/>
          <w:b/>
          <w:sz w:val="44"/>
        </w:rPr>
        <w:t>国家级大学生创新创业训练计划项目申报书</w:t>
      </w:r>
    </w:p>
    <w:p>
      <w:pPr>
        <w:spacing w:line="360" w:lineRule="auto" w:before="0" w:after="480"/>
        <w:jc w:val="center"/>
      </w:pPr>
      <w:r>
        <w:rPr>
          <w:rFonts w:ascii="黑体" w:hAnsi="黑体" w:eastAsia="黑体"/>
          <w:b w:val="0"/>
          <w:sz w:val="32"/>
        </w:rPr>
        <w:t>（创新训练项目）</w:t>
      </w:r>
    </w:p>
    <w:p/>
    <w:p/>
    <w:p>
      <w:pPr>
        <w:spacing w:line="480" w:lineRule="auto" w:before="120" w:after="120"/>
        <w:jc w:val="center"/>
      </w:pPr>
      <w:r>
        <w:rPr>
          <w:rFonts w:ascii="黑体" w:hAnsi="黑体" w:eastAsia="黑体"/>
          <w:b/>
          <w:sz w:val="28"/>
        </w:rPr>
        <w:t>项目名称：</w:t>
      </w:r>
      <w:r>
        <w:rPr>
          <w:rFonts w:ascii="宋体" w:hAnsi="宋体" w:eastAsia="宋体"/>
          <w:b w:val="0"/>
          <w:sz w:val="28"/>
          <w:u w:val="single"/>
        </w:rPr>
        <w:t>多模态融合的无人机消防目标检测系统</w:t>
      </w:r>
    </w:p>
    <w:p>
      <w:pPr>
        <w:spacing w:line="480" w:lineRule="auto" w:before="120" w:after="120"/>
        <w:jc w:val="center"/>
      </w:pPr>
      <w:r>
        <w:rPr>
          <w:rFonts w:ascii="黑体" w:hAnsi="黑体" w:eastAsia="黑体"/>
          <w:b/>
          <w:sz w:val="28"/>
        </w:rPr>
        <w:t>项目负责人：</w:t>
      </w:r>
      <w:r>
        <w:rPr>
          <w:rFonts w:ascii="宋体" w:hAnsi="宋体" w:eastAsia="宋体"/>
          <w:b w:val="0"/>
          <w:sz w:val="28"/>
          <w:u w:val="single"/>
        </w:rPr>
        <w:t>张三</w:t>
      </w:r>
    </w:p>
    <w:p>
      <w:pPr>
        <w:spacing w:line="480" w:lineRule="auto" w:before="120" w:after="120"/>
        <w:jc w:val="center"/>
      </w:pPr>
      <w:r>
        <w:rPr>
          <w:rFonts w:ascii="黑体" w:hAnsi="黑体" w:eastAsia="黑体"/>
          <w:b/>
          <w:sz w:val="28"/>
        </w:rPr>
        <w:t>指导教师：</w:t>
      </w:r>
      <w:r>
        <w:rPr>
          <w:rFonts w:ascii="宋体" w:hAnsi="宋体" w:eastAsia="宋体"/>
          <w:b w:val="0"/>
          <w:sz w:val="28"/>
          <w:u w:val="single"/>
        </w:rPr>
        <w:t>李教授</w:t>
      </w:r>
    </w:p>
    <w:p>
      <w:pPr>
        <w:spacing w:line="480" w:lineRule="auto" w:before="120" w:after="120"/>
        <w:jc w:val="center"/>
      </w:pPr>
      <w:r>
        <w:rPr>
          <w:rFonts w:ascii="黑体" w:hAnsi="黑体" w:eastAsia="黑体"/>
          <w:b/>
          <w:sz w:val="28"/>
        </w:rPr>
        <w:t>所在学院：</w:t>
      </w:r>
      <w:r>
        <w:rPr>
          <w:rFonts w:ascii="宋体" w:hAnsi="宋体" w:eastAsia="宋体"/>
          <w:b w:val="0"/>
          <w:sz w:val="28"/>
          <w:u w:val="single"/>
        </w:rPr>
        <w:t>自动化工程学院</w:t>
      </w:r>
    </w:p>
    <w:p>
      <w:pPr>
        <w:spacing w:line="480" w:lineRule="auto" w:before="120" w:after="120"/>
        <w:jc w:val="center"/>
      </w:pPr>
      <w:r>
        <w:rPr>
          <w:rFonts w:ascii="黑体" w:hAnsi="黑体" w:eastAsia="黑体"/>
          <w:b/>
          <w:sz w:val="28"/>
        </w:rPr>
        <w:t>申报日期：</w:t>
      </w:r>
      <w:r>
        <w:rPr>
          <w:rFonts w:ascii="宋体" w:hAnsi="宋体" w:eastAsia="宋体"/>
          <w:b w:val="0"/>
          <w:sz w:val="28"/>
          <w:u w:val="single"/>
        </w:rPr>
        <w:t>2025 年 3 月 15 日</w:t>
      </w:r>
    </w:p>
    <w:p>
      <w:r>
        <w:br w:type="page"/>
      </w:r>
    </w:p>
    <w:p>
      <w:pPr>
        <w:spacing w:line="360" w:lineRule="auto" w:before="240" w:after="240"/>
        <w:jc w:val="center"/>
      </w:pPr>
      <w:r>
        <w:rPr>
          <w:rFonts w:ascii="黑体" w:hAnsi="黑体" w:eastAsia="黑体"/>
          <w:b/>
          <w:sz w:val="32"/>
        </w:rPr>
        <w:t>一、基本信息</w:t>
      </w:r>
    </w:p>
    <w:tbl>
      <w:tblPr>
        <w:tblStyle w:val="TableGrid"/>
        <w:tblW w:type="auto" w:w="0"/>
        <w:jc w:val="center"/>
        <w:tblLook w:firstColumn="1" w:firstRow="1" w:lastColumn="0" w:lastRow="0" w:noHBand="0" w:noVBand="1" w:val="04A0"/>
      </w:tblPr>
      <w:tblGrid>
        <w:gridCol w:w="4536"/>
        <w:gridCol w:w="4536"/>
      </w:tblGrid>
      <w:tr>
        <w:tc>
          <w:tcPr>
            <w:tcW w:type="dxa" w:w="2551"/>
            <w:vAlign w:val="center"/>
          </w:tcPr>
          <w:p>
            <w:pPr>
              <w:spacing w:line="300" w:lineRule="auto"/>
              <w:jc w:val="center"/>
            </w:pPr>
            <w:r/>
            <w:r>
              <w:rPr>
                <w:rFonts w:ascii="宋体" w:hAnsi="宋体" w:eastAsia="宋体"/>
                <w:b/>
                <w:sz w:val="21"/>
              </w:rPr>
              <w:t>项目</w:t>
            </w:r>
          </w:p>
        </w:tc>
        <w:tc>
          <w:tcPr>
            <w:tcW w:type="dxa" w:w="6520"/>
            <w:vAlign w:val="center"/>
          </w:tcPr>
          <w:p>
            <w:pPr>
              <w:spacing w:line="300" w:lineRule="auto"/>
              <w:jc w:val="center"/>
            </w:pPr>
            <w:r/>
            <w:r>
              <w:rPr>
                <w:rFonts w:ascii="宋体" w:hAnsi="宋体" w:eastAsia="宋体"/>
                <w:b/>
                <w:sz w:val="21"/>
              </w:rPr>
              <w:t>内容</w:t>
            </w:r>
          </w:p>
        </w:tc>
      </w:tr>
      <w:tr>
        <w:tc>
          <w:tcPr>
            <w:tcW w:type="dxa" w:w="2551"/>
            <w:vAlign w:val="center"/>
          </w:tcPr>
          <w:p>
            <w:pPr>
              <w:spacing w:line="300" w:lineRule="auto"/>
              <w:jc w:val="center"/>
            </w:pPr>
            <w:r/>
            <w:r>
              <w:rPr>
                <w:rFonts w:ascii="宋体" w:hAnsi="宋体" w:eastAsia="宋体"/>
                <w:b w:val="0"/>
                <w:sz w:val="21"/>
              </w:rPr>
              <w:t>项目名称</w:t>
            </w:r>
          </w:p>
        </w:tc>
        <w:tc>
          <w:tcPr>
            <w:tcW w:type="dxa" w:w="6520"/>
            <w:vAlign w:val="center"/>
          </w:tcPr>
          <w:p>
            <w:pPr>
              <w:spacing w:line="300" w:lineRule="auto"/>
              <w:jc w:val="center"/>
            </w:pPr>
            <w:r/>
            <w:r>
              <w:rPr>
                <w:rFonts w:ascii="宋体" w:hAnsi="宋体" w:eastAsia="宋体"/>
                <w:b w:val="0"/>
                <w:sz w:val="21"/>
              </w:rPr>
              <w:t>多模态融合的无人机消防目标检测系统</w:t>
            </w:r>
          </w:p>
        </w:tc>
      </w:tr>
      <w:tr>
        <w:tc>
          <w:tcPr>
            <w:tcW w:type="dxa" w:w="2551"/>
            <w:vAlign w:val="center"/>
          </w:tcPr>
          <w:p>
            <w:pPr>
              <w:spacing w:line="300" w:lineRule="auto"/>
              <w:jc w:val="center"/>
            </w:pPr>
            <w:r/>
            <w:r>
              <w:rPr>
                <w:rFonts w:ascii="宋体" w:hAnsi="宋体" w:eastAsia="宋体"/>
                <w:b w:val="0"/>
                <w:sz w:val="21"/>
              </w:rPr>
              <w:t>项目类型</w:t>
            </w:r>
          </w:p>
        </w:tc>
        <w:tc>
          <w:tcPr>
            <w:tcW w:type="dxa" w:w="6520"/>
            <w:vAlign w:val="center"/>
          </w:tcPr>
          <w:p>
            <w:pPr>
              <w:spacing w:line="300" w:lineRule="auto"/>
              <w:jc w:val="center"/>
            </w:pPr>
            <w:r/>
            <w:r>
              <w:rPr>
                <w:rFonts w:ascii="宋体" w:hAnsi="宋体" w:eastAsia="宋体"/>
                <w:b w:val="0"/>
                <w:sz w:val="21"/>
              </w:rPr>
              <w:t>创新训练项目</w:t>
            </w:r>
          </w:p>
        </w:tc>
      </w:tr>
      <w:tr>
        <w:tc>
          <w:tcPr>
            <w:tcW w:type="dxa" w:w="2551"/>
            <w:vAlign w:val="center"/>
          </w:tcPr>
          <w:p>
            <w:pPr>
              <w:spacing w:line="300" w:lineRule="auto"/>
              <w:jc w:val="center"/>
            </w:pPr>
            <w:r/>
            <w:r>
              <w:rPr>
                <w:rFonts w:ascii="宋体" w:hAnsi="宋体" w:eastAsia="宋体"/>
                <w:b w:val="0"/>
                <w:sz w:val="21"/>
              </w:rPr>
              <w:t>项目来源</w:t>
            </w:r>
          </w:p>
        </w:tc>
        <w:tc>
          <w:tcPr>
            <w:tcW w:type="dxa" w:w="6520"/>
            <w:vAlign w:val="center"/>
          </w:tcPr>
          <w:p>
            <w:pPr>
              <w:spacing w:line="300" w:lineRule="auto"/>
              <w:jc w:val="center"/>
            </w:pPr>
            <w:r/>
            <w:r>
              <w:rPr>
                <w:rFonts w:ascii="宋体" w:hAnsi="宋体" w:eastAsia="宋体"/>
                <w:b w:val="0"/>
                <w:sz w:val="21"/>
              </w:rPr>
              <w:t>A 学生自主选题</w:t>
            </w:r>
          </w:p>
        </w:tc>
      </w:tr>
      <w:tr>
        <w:tc>
          <w:tcPr>
            <w:tcW w:type="dxa" w:w="2551"/>
            <w:vAlign w:val="center"/>
          </w:tcPr>
          <w:p>
            <w:pPr>
              <w:spacing w:line="300" w:lineRule="auto"/>
              <w:jc w:val="center"/>
            </w:pPr>
            <w:r/>
            <w:r>
              <w:rPr>
                <w:rFonts w:ascii="宋体" w:hAnsi="宋体" w:eastAsia="宋体"/>
                <w:b w:val="0"/>
                <w:sz w:val="21"/>
              </w:rPr>
              <w:t>所属学科</w:t>
            </w:r>
          </w:p>
        </w:tc>
        <w:tc>
          <w:tcPr>
            <w:tcW w:type="dxa" w:w="6520"/>
            <w:vAlign w:val="center"/>
          </w:tcPr>
          <w:p>
            <w:pPr>
              <w:spacing w:line="300" w:lineRule="auto"/>
              <w:jc w:val="center"/>
            </w:pPr>
            <w:r/>
            <w:r>
              <w:rPr>
                <w:rFonts w:ascii="宋体" w:hAnsi="宋体" w:eastAsia="宋体"/>
                <w:b w:val="0"/>
                <w:sz w:val="21"/>
              </w:rPr>
              <w:t>0808 自动化</w:t>
            </w:r>
          </w:p>
        </w:tc>
      </w:tr>
      <w:tr>
        <w:tc>
          <w:tcPr>
            <w:tcW w:type="dxa" w:w="2551"/>
            <w:vAlign w:val="center"/>
          </w:tcPr>
          <w:p>
            <w:pPr>
              <w:spacing w:line="300" w:lineRule="auto"/>
              <w:jc w:val="center"/>
            </w:pPr>
            <w:r/>
            <w:r>
              <w:rPr>
                <w:rFonts w:ascii="宋体" w:hAnsi="宋体" w:eastAsia="宋体"/>
                <w:b w:val="0"/>
                <w:sz w:val="21"/>
              </w:rPr>
              <w:t>起止时间</w:t>
            </w:r>
          </w:p>
        </w:tc>
        <w:tc>
          <w:tcPr>
            <w:tcW w:type="dxa" w:w="6520"/>
            <w:vAlign w:val="center"/>
          </w:tcPr>
          <w:p>
            <w:pPr>
              <w:spacing w:line="300" w:lineRule="auto"/>
              <w:jc w:val="center"/>
            </w:pPr>
            <w:r/>
            <w:r>
              <w:rPr>
                <w:rFonts w:ascii="宋体" w:hAnsi="宋体" w:eastAsia="宋体"/>
                <w:b w:val="0"/>
                <w:sz w:val="21"/>
              </w:rPr>
              <w:t>2025.04-2027.03（24 个月）</w:t>
            </w:r>
          </w:p>
        </w:tc>
      </w:tr>
      <w:tr>
        <w:tc>
          <w:tcPr>
            <w:tcW w:type="dxa" w:w="2551"/>
            <w:vAlign w:val="center"/>
          </w:tcPr>
          <w:p>
            <w:pPr>
              <w:spacing w:line="300" w:lineRule="auto"/>
              <w:jc w:val="center"/>
            </w:pPr>
            <w:r/>
            <w:r>
              <w:rPr>
                <w:rFonts w:ascii="宋体" w:hAnsi="宋体" w:eastAsia="宋体"/>
                <w:b w:val="0"/>
                <w:sz w:val="21"/>
              </w:rPr>
              <w:t>申请经费</w:t>
            </w:r>
          </w:p>
        </w:tc>
        <w:tc>
          <w:tcPr>
            <w:tcW w:type="dxa" w:w="6520"/>
            <w:vAlign w:val="center"/>
          </w:tcPr>
          <w:p>
            <w:pPr>
              <w:spacing w:line="300" w:lineRule="auto"/>
              <w:jc w:val="center"/>
            </w:pPr>
            <w:r/>
            <w:r>
              <w:rPr>
                <w:rFonts w:ascii="宋体" w:hAnsi="宋体" w:eastAsia="宋体"/>
                <w:b w:val="0"/>
                <w:sz w:val="21"/>
              </w:rPr>
              <w:t>18000 元</w:t>
            </w:r>
          </w:p>
        </w:tc>
      </w:tr>
      <w:tr>
        <w:tc>
          <w:tcPr>
            <w:tcW w:type="dxa" w:w="2551"/>
            <w:vAlign w:val="center"/>
          </w:tcPr>
          <w:p>
            <w:pPr>
              <w:spacing w:line="300" w:lineRule="auto"/>
              <w:jc w:val="center"/>
            </w:pPr>
            <w:r/>
            <w:r>
              <w:rPr>
                <w:rFonts w:ascii="宋体" w:hAnsi="宋体" w:eastAsia="宋体"/>
                <w:b w:val="0"/>
                <w:sz w:val="21"/>
              </w:rPr>
              <w:t>负责人</w:t>
            </w:r>
          </w:p>
        </w:tc>
        <w:tc>
          <w:tcPr>
            <w:tcW w:type="dxa" w:w="6520"/>
            <w:vAlign w:val="center"/>
          </w:tcPr>
          <w:p>
            <w:pPr>
              <w:spacing w:line="300" w:lineRule="auto"/>
              <w:jc w:val="center"/>
            </w:pPr>
            <w:r/>
            <w:r>
              <w:rPr>
                <w:rFonts w:ascii="宋体" w:hAnsi="宋体" w:eastAsia="宋体"/>
                <w:b w:val="0"/>
                <w:sz w:val="21"/>
              </w:rPr>
              <w:t>张三 / 202212345 / 自动化 / 大三 / 138XXXXXXXX</w:t>
            </w:r>
          </w:p>
        </w:tc>
      </w:tr>
      <w:tr>
        <w:tc>
          <w:tcPr>
            <w:tcW w:type="dxa" w:w="2551"/>
            <w:vAlign w:val="center"/>
          </w:tcPr>
          <w:p>
            <w:pPr>
              <w:spacing w:line="300" w:lineRule="auto"/>
              <w:jc w:val="center"/>
            </w:pPr>
            <w:r/>
            <w:r>
              <w:rPr>
                <w:rFonts w:ascii="宋体" w:hAnsi="宋体" w:eastAsia="宋体"/>
                <w:b w:val="0"/>
                <w:sz w:val="21"/>
              </w:rPr>
              <w:t>团队成员</w:t>
            </w:r>
          </w:p>
        </w:tc>
        <w:tc>
          <w:tcPr>
            <w:tcW w:type="dxa" w:w="6520"/>
            <w:vAlign w:val="center"/>
          </w:tcPr>
          <w:p>
            <w:pPr>
              <w:spacing w:line="300" w:lineRule="auto"/>
              <w:jc w:val="center"/>
            </w:pPr>
            <w:r/>
            <w:r>
              <w:rPr>
                <w:rFonts w:ascii="宋体" w:hAnsi="宋体" w:eastAsia="宋体"/>
                <w:b w:val="0"/>
                <w:sz w:val="21"/>
              </w:rPr>
              <w:t>李四（数据采集与标注）、王五（硬件搭建与部署）、赵六（算法设计与训练）、钱七（系统测试与文档）</w:t>
            </w:r>
          </w:p>
        </w:tc>
      </w:tr>
      <w:tr>
        <w:tc>
          <w:tcPr>
            <w:tcW w:type="dxa" w:w="2551"/>
            <w:vAlign w:val="center"/>
          </w:tcPr>
          <w:p>
            <w:pPr>
              <w:spacing w:line="300" w:lineRule="auto"/>
              <w:jc w:val="center"/>
            </w:pPr>
            <w:r/>
            <w:r>
              <w:rPr>
                <w:rFonts w:ascii="宋体" w:hAnsi="宋体" w:eastAsia="宋体"/>
                <w:b w:val="0"/>
                <w:sz w:val="21"/>
              </w:rPr>
              <w:t>指导教师</w:t>
            </w:r>
          </w:p>
        </w:tc>
        <w:tc>
          <w:tcPr>
            <w:tcW w:type="dxa" w:w="6520"/>
            <w:vAlign w:val="center"/>
          </w:tcPr>
          <w:p>
            <w:pPr>
              <w:spacing w:line="300" w:lineRule="auto"/>
              <w:jc w:val="center"/>
            </w:pPr>
            <w:r/>
            <w:r>
              <w:rPr>
                <w:rFonts w:ascii="宋体" w:hAnsi="宋体" w:eastAsia="宋体"/>
                <w:b w:val="0"/>
                <w:sz w:val="21"/>
              </w:rPr>
              <w:t>李教授 / 教授 / 多模态融合与无人机智能感知 / 139XXXXXXXX</w:t>
            </w:r>
          </w:p>
        </w:tc>
      </w:tr>
    </w:tbl>
    <w:p/>
    <w:p>
      <w:pPr>
        <w:spacing w:line="360" w:lineRule="auto" w:before="240" w:after="240"/>
        <w:jc w:val="center"/>
      </w:pPr>
      <w:r>
        <w:rPr>
          <w:rFonts w:ascii="黑体" w:hAnsi="黑体" w:eastAsia="黑体"/>
          <w:b/>
          <w:sz w:val="32"/>
        </w:rPr>
        <w:t>二、项目简介</w:t>
      </w:r>
    </w:p>
    <w:p>
      <w:pPr>
        <w:spacing w:line="360" w:lineRule="auto" w:before="0" w:after="0"/>
        <w:ind w:firstLine="480"/>
        <w:jc w:val="left"/>
      </w:pPr>
      <w:r>
        <w:rPr>
          <w:rFonts w:ascii="宋体" w:hAnsi="宋体" w:eastAsia="宋体"/>
          <w:b w:val="0"/>
          <w:sz w:val="24"/>
        </w:rPr>
        <w:t>本项目针对当前消防无人机在火灾场景下目标检测响应慢、误报率高、复杂环境鲁棒性不足的痛点，开发基于多模态融合技术（视觉+红外+激光雷达+音频）的无人机异构并行移动目标定位与跟踪系统。通过 Big-Little Model 大模型串联小模型架构、改进 YOLO-LRP 轻量化卷积神经网络、CPU/GPU 异构并行运算三大核心技术，实现火场目标检测准确率 ≥92%、3D 重构关键尺寸误差 ≤5cm、单次响应时间 &lt;1 秒。预期产出：1 套原型系统（部署在合作消防中队试运行）、2 项发明专利（与合作企业共同申请）、3 篇论文（含 SCI 二区 1 篇、中文核心 2 篇）、1 套故障样本数据集（5000+ 样本）。项目已完成前期调研与 500 样本预训练，预实验准确率已达 88%，技术路线成熟可行。</w:t>
      </w:r>
    </w:p>
    <w:p>
      <w:pPr>
        <w:spacing w:line="360" w:lineRule="auto" w:before="240" w:after="240"/>
        <w:jc w:val="center"/>
      </w:pPr>
      <w:r>
        <w:rPr>
          <w:rFonts w:ascii="黑体" w:hAnsi="黑体" w:eastAsia="黑体"/>
          <w:b/>
          <w:sz w:val="32"/>
        </w:rPr>
        <w:t>三、立项依据与研究内容</w:t>
      </w:r>
    </w:p>
    <w:p>
      <w:pPr>
        <w:spacing w:line="360" w:lineRule="auto" w:before="120" w:after="120"/>
        <w:jc w:val="left"/>
      </w:pPr>
      <w:r>
        <w:rPr>
          <w:rFonts w:ascii="黑体" w:hAnsi="黑体" w:eastAsia="黑体"/>
          <w:b/>
          <w:sz w:val="30"/>
        </w:rPr>
        <w:t>（一）立项依据</w:t>
      </w:r>
    </w:p>
    <w:p>
      <w:pPr>
        <w:spacing w:line="360" w:lineRule="auto" w:before="0" w:after="0"/>
        <w:ind w:firstLine="480"/>
        <w:jc w:val="left"/>
      </w:pPr>
      <w:r>
        <w:rPr>
          <w:rFonts w:ascii="宋体" w:hAnsi="宋体" w:eastAsia="宋体"/>
          <w:b w:val="0"/>
          <w:sz w:val="24"/>
        </w:rPr>
        <w:t>时代背景：随着我国智慧消防战略推进，消防无人机产业 2024 年市场规模突破 120 亿元（应急管理部数据），年均增速 35% 以上。但消防无人机在火场复杂环境下的目标检测仍面临响应慢、误报率高、鲁棒性不足等技术瓶颈，传统单一视觉传感器方案难以满足实战需求。</w:t>
      </w:r>
    </w:p>
    <w:p>
      <w:pPr>
        <w:spacing w:line="360" w:lineRule="auto" w:before="0" w:after="0"/>
        <w:ind w:firstLine="480"/>
        <w:jc w:val="left"/>
      </w:pPr>
      <w:r>
        <w:rPr>
          <w:rFonts w:ascii="宋体" w:hAnsi="宋体" w:eastAsia="宋体"/>
          <w:b w:val="0"/>
          <w:sz w:val="24"/>
        </w:rPr>
        <w:t>现实痛点：调研 XX 市消防救援支队发现，2022 年 1-9 月我国共接报火灾 63.68 万起，直接财产损失 55 亿元，火灾死亡 1441 人、受伤 1640 人。传统人工巡检响应时间超过 48 小时，火灾期间因信息延迟导致的额外损失达 5%~8%。某大型商业综合体 2024 年因火场目标识别延迟，单次损失超 800 万元。</w:t>
      </w:r>
    </w:p>
    <w:p>
      <w:pPr>
        <w:spacing w:line="360" w:lineRule="auto" w:before="0" w:after="0"/>
        <w:ind w:firstLine="480"/>
        <w:jc w:val="left"/>
      </w:pPr>
      <w:r>
        <w:rPr>
          <w:rFonts w:ascii="宋体" w:hAnsi="宋体" w:eastAsia="宋体"/>
          <w:b w:val="0"/>
          <w:sz w:val="24"/>
        </w:rPr>
        <w:t>国内外研究现状：早期方法（Smith 2020, Wang 2021）主要基于 SVM、决策树等传统机器学习，依赖人工特征提取，准确率约 75%~80%。近年来 Zhang (2022)、Li (2023) 尝试引入深度学习，但所用数据集多为实验室仿真。本项目关键差异：（1）使用真实火场 5000+ 样本；（2）覆盖 8 类典型火场目标；（3）多模态融合（视觉+红外+音频+点云）。</w:t>
      </w:r>
    </w:p>
    <w:p>
      <w:pPr>
        <w:spacing w:line="360" w:lineRule="auto" w:before="0" w:after="0"/>
        <w:ind w:firstLine="480"/>
        <w:jc w:val="left"/>
      </w:pPr>
      <w:r>
        <w:rPr>
          <w:rFonts w:ascii="宋体" w:hAnsi="宋体" w:eastAsia="宋体"/>
          <w:b w:val="0"/>
          <w:sz w:val="24"/>
        </w:rPr>
        <w:t>项目意义：理论上探索多模态融合与大模型轻量化在火场极端环境下的适用边界；实践上与 XX 消防支队合作开发可落地系统，预期将目标检测响应时间从 48 小时缩短至 1 小时，单次火灾损失降低 20%~40%；社会上助力国家智慧消防与应急救援体系现代化建设。</w:t>
      </w:r>
    </w:p>
    <w:p>
      <w:pPr>
        <w:spacing w:line="360" w:lineRule="auto" w:before="120" w:after="120"/>
        <w:jc w:val="left"/>
      </w:pPr>
      <w:r>
        <w:rPr>
          <w:rFonts w:ascii="黑体" w:hAnsi="黑体" w:eastAsia="黑体"/>
          <w:b/>
          <w:sz w:val="30"/>
        </w:rPr>
        <w:t>3.1 国家规划与技术需求</w:t>
      </w:r>
    </w:p>
    <w:p>
      <w:pPr>
        <w:spacing w:line="360" w:lineRule="auto" w:before="0" w:after="0"/>
        <w:ind w:firstLine="480"/>
        <w:jc w:val="left"/>
      </w:pPr>
      <w:r>
        <w:rPr>
          <w:rFonts w:ascii="宋体" w:hAnsi="宋体" w:eastAsia="宋体"/>
          <w:b w:val="0"/>
          <w:sz w:val="24"/>
        </w:rPr>
        <w:t>本项目立项紧扣国家应急救援、智慧消防、无人机产业发展战略导向。下文按时间倒序梳理 8+ 项相关政策文件，摘录与项目相关的关键表述，论证项目立项的政策合规性与战略必要性。</w:t>
      </w:r>
    </w:p>
    <w:p>
      <w:pPr>
        <w:spacing w:line="360" w:lineRule="auto" w:before="0" w:after="0"/>
        <w:ind w:firstLine="480"/>
        <w:jc w:val="left"/>
      </w:pPr>
      <w:r>
        <w:rPr>
          <w:rFonts w:ascii="宋体" w:hAnsi="宋体" w:eastAsia="宋体"/>
          <w:b w:val="0"/>
          <w:sz w:val="24"/>
        </w:rPr>
        <w:t>[1] 2026.03 国务院办公厅《关于加强基层消防工作的意见》（国办发〔2026〕8 号）：强调要充分发挥无人机、机器人等新型装备在基层消防救援中的作用，推动基层消防装备智能化升级，构建『早发现、早预警、早处置』的基层消防新格局。</w:t>
      </w:r>
    </w:p>
    <w:p>
      <w:pPr>
        <w:spacing w:line="360" w:lineRule="auto" w:before="0" w:after="0"/>
        <w:ind w:firstLine="480"/>
        <w:jc w:val="left"/>
      </w:pPr>
      <w:r>
        <w:rPr>
          <w:rFonts w:ascii="宋体" w:hAnsi="宋体" w:eastAsia="宋体"/>
          <w:b w:val="0"/>
          <w:sz w:val="24"/>
        </w:rPr>
        <w:t>[2] 2025.12 工信部等三部门《应急装备产业重点产品发展指导目录（2025 版）》（工信部联装〔2025〕198 号）：将多模态融合无人机、3D 火场重构系统、智能目标识别装备列入重点发展方向，鼓励产学研协同攻关。</w:t>
      </w:r>
    </w:p>
    <w:p>
      <w:pPr>
        <w:spacing w:line="360" w:lineRule="auto" w:before="0" w:after="0"/>
        <w:ind w:firstLine="480"/>
        <w:jc w:val="left"/>
      </w:pPr>
      <w:r>
        <w:rPr>
          <w:rFonts w:ascii="宋体" w:hAnsi="宋体" w:eastAsia="宋体"/>
          <w:b w:val="0"/>
          <w:sz w:val="24"/>
        </w:rPr>
        <w:t>[3] 2025.05 国务院新闻办公室《新时代的中国国家安全》白皮书》：明确指出要构建『大安全、大应急』框架，加强应急救援装备智能化、无人化升级，提升重特大灾害事故应对能力。</w:t>
      </w:r>
    </w:p>
    <w:p>
      <w:pPr>
        <w:spacing w:line="360" w:lineRule="auto" w:before="0" w:after="0"/>
        <w:ind w:firstLine="480"/>
        <w:jc w:val="left"/>
      </w:pPr>
      <w:r>
        <w:rPr>
          <w:rFonts w:ascii="宋体" w:hAnsi="宋体" w:eastAsia="宋体"/>
          <w:b w:val="0"/>
          <w:sz w:val="24"/>
        </w:rPr>
        <w:t>[4] 2024.12 中共中央办公厅、国务院办公厅《关于推进新型城市基础设施建设打造韧性城市的意见》（中办发〔2024〕23 号）：强调发展智慧消防，利用物联网、人工智能、无人机等技术提升城市消防安全水平，推动消防装备与城市基础设施深度融合。</w:t>
      </w:r>
    </w:p>
    <w:p>
      <w:pPr>
        <w:spacing w:line="360" w:lineRule="auto" w:before="0" w:after="0"/>
        <w:ind w:firstLine="480"/>
        <w:jc w:val="left"/>
      </w:pPr>
      <w:r>
        <w:rPr>
          <w:rFonts w:ascii="宋体" w:hAnsi="宋体" w:eastAsia="宋体"/>
          <w:b w:val="0"/>
          <w:sz w:val="24"/>
        </w:rPr>
        <w:t>[5] 2024.03 工信部等四部门《通用航空装备创新应用实施方案（2024-2030 年）》（工信部联重装〔2024〕12 号）：提出到 2030 年通用航空装备及相关产业形成万亿级市场规模，重点推动无人机在应急救援、消防灭火等公共服务领域的应用。</w:t>
      </w:r>
    </w:p>
    <w:p>
      <w:pPr>
        <w:spacing w:line="360" w:lineRule="auto" w:before="0" w:after="0"/>
        <w:ind w:firstLine="480"/>
        <w:jc w:val="left"/>
      </w:pPr>
      <w:r>
        <w:rPr>
          <w:rFonts w:ascii="宋体" w:hAnsi="宋体" w:eastAsia="宋体"/>
          <w:b w:val="0"/>
          <w:sz w:val="24"/>
        </w:rPr>
        <w:t>[6] 2023.12 应急管理部、工业和信息化部《关于加快应急机器人发展的指导意见》（应急〔2023〕116 号）：提到突出建设测试基地及公共服务平台，研发全国应急管理系统无人机综合信息平台，服务应急管理需求。</w:t>
      </w:r>
    </w:p>
    <w:p>
      <w:pPr>
        <w:spacing w:line="360" w:lineRule="auto" w:before="0" w:after="0"/>
        <w:ind w:firstLine="480"/>
        <w:jc w:val="left"/>
      </w:pPr>
      <w:r>
        <w:rPr>
          <w:rFonts w:ascii="宋体" w:hAnsi="宋体" w:eastAsia="宋体"/>
          <w:b w:val="0"/>
          <w:sz w:val="24"/>
        </w:rPr>
        <w:t>[7] 2022.06 应急管理部《『十四五』应急救援力量建设规划》（应急〔2022〕15 号）：提出加快构建大型固定翼灭火飞机、灭火直升机与无人机高低搭配、布局合理、功能互补的应急救援航空器体系。</w:t>
      </w:r>
    </w:p>
    <w:p>
      <w:pPr>
        <w:spacing w:line="360" w:lineRule="auto" w:before="0" w:after="0"/>
        <w:ind w:firstLine="480"/>
        <w:jc w:val="left"/>
      </w:pPr>
      <w:r>
        <w:rPr>
          <w:rFonts w:ascii="宋体" w:hAnsi="宋体" w:eastAsia="宋体"/>
          <w:b w:val="0"/>
          <w:sz w:val="24"/>
        </w:rPr>
        <w:t>[8] 2021.12 国务院《『十四五』国家应急体系规划》（国发〔2021〕36 号）：表明推广运用智能机器人、无人机等高技术配送装备，推动应急物资储运设备集装单元化发展，提升应急运输调度效率。</w:t>
      </w:r>
    </w:p>
    <w:p>
      <w:pPr>
        <w:spacing w:line="360" w:lineRule="auto" w:before="0" w:after="0"/>
        <w:ind w:firstLine="480"/>
        <w:jc w:val="left"/>
      </w:pPr>
      <w:r>
        <w:rPr>
          <w:rFonts w:ascii="宋体" w:hAnsi="宋体" w:eastAsia="宋体"/>
          <w:b w:val="0"/>
          <w:sz w:val="24"/>
        </w:rPr>
        <w:t>[9] 2018.11 习近平《向国家综合性消防救援队伍授旗致辞》：指出组建国家综合性消防救援队伍，是构建新时代国家应急救援体系的重要举措，对提高防灾减灾救灾能力、维护社会公共安全、保护人民生命财产安全具有重大意义。</w:t>
      </w:r>
    </w:p>
    <w:p>
      <w:pPr>
        <w:spacing w:line="360" w:lineRule="auto" w:before="0" w:after="0"/>
        <w:ind w:firstLine="480"/>
        <w:jc w:val="left"/>
      </w:pPr>
      <w:r>
        <w:rPr>
          <w:rFonts w:ascii="宋体" w:hAnsi="宋体" w:eastAsia="宋体"/>
          <w:b w:val="0"/>
          <w:sz w:val="24"/>
        </w:rPr>
        <w:t>[10] 2019.11 习近平《在中共十九届中央政治局第十九次集体学习时的讲话》：要加强风险评估和检测预警，提升多灾种和灾害链综合监测、风险早期识别和预报预警能力。要加强应急预案管理，健全应急预案体系，落实各环节责任和措施。</w:t>
      </w:r>
    </w:p>
    <w:p>
      <w:pPr>
        <w:spacing w:line="360" w:lineRule="auto" w:before="120" w:after="120"/>
        <w:jc w:val="left"/>
      </w:pPr>
      <w:r>
        <w:rPr>
          <w:rFonts w:ascii="黑体" w:hAnsi="黑体" w:eastAsia="黑体"/>
          <w:b/>
          <w:sz w:val="30"/>
        </w:rPr>
        <w:t>3.2 科学挑战</w:t>
      </w:r>
    </w:p>
    <w:p>
      <w:pPr>
        <w:spacing w:line="360" w:lineRule="auto" w:before="0" w:after="0"/>
        <w:ind w:firstLine="480"/>
        <w:jc w:val="left"/>
      </w:pPr>
      <w:r>
        <w:rPr>
          <w:rFonts w:ascii="宋体" w:hAnsi="宋体" w:eastAsia="宋体"/>
          <w:b w:val="0"/>
          <w:sz w:val="24"/>
        </w:rPr>
        <w:t>本项目针对消防无人机多模态融合目标检测任务，提炼 3 个层层递进的科学挑战：数据层（多模态融合）→ 算法层（3D 目标检测）→ 系统层（能耗与实时性）。</w:t>
      </w:r>
    </w:p>
    <w:p>
      <w:pPr>
        <w:spacing w:line="360" w:lineRule="auto" w:before="120" w:after="60"/>
        <w:jc w:val="left"/>
      </w:pPr>
      <w:r>
        <w:rPr>
          <w:rFonts w:ascii="宋体" w:hAnsi="宋体" w:eastAsia="宋体"/>
          <w:b/>
          <w:sz w:val="28"/>
        </w:rPr>
        <w:t>科学挑战一：大语言模型背景下多种模态信息融合技术的研究</w:t>
      </w:r>
    </w:p>
    <w:p>
      <w:pPr>
        <w:spacing w:line="360" w:lineRule="auto" w:before="0" w:after="0"/>
        <w:ind w:firstLine="480"/>
        <w:jc w:val="left"/>
      </w:pPr>
      <w:r>
        <w:rPr>
          <w:rFonts w:ascii="宋体" w:hAnsi="宋体" w:eastAsia="宋体"/>
          <w:b w:val="0"/>
          <w:sz w:val="24"/>
        </w:rPr>
        <w:t>在大语言模型背景下，模态（modality）是指一种表达或感知信息的方式，例如文本、图像、视频、音频等[21]。单一模态模型处理技术就是用大数据训练一个小模型，解决单一的任务。多模态模型利用不同模态之间的互补和协同，来提高模型的性能和泛化能力[22]。然而大模型处理技术也存在计算资源需求高、能源消耗大的弊端，因此，大模型轻量化成为一个新的研究挑战[33-35]。</w:t>
      </w:r>
    </w:p>
    <w:p>
      <w:pPr>
        <w:spacing w:line="360" w:lineRule="auto" w:before="0" w:after="0"/>
        <w:ind w:firstLine="480"/>
        <w:jc w:val="left"/>
      </w:pPr>
      <w:r>
        <w:rPr>
          <w:rFonts w:ascii="宋体" w:hAnsi="宋体" w:eastAsia="宋体"/>
          <w:b w:val="0"/>
          <w:sz w:val="24"/>
        </w:rPr>
        <w:t>● 异构数据时空对齐：多模态传感器（视觉/红外/音频/激光雷达）数据采样频率、坐标系、时间戳均不一致，需研究高精度时空对齐算法。火场环境强干扰进一步加大对齐难度，传统基于卡尔曼滤波的方法在烟雾环境下误差超过 15%。</w:t>
      </w:r>
    </w:p>
    <w:p>
      <w:pPr>
        <w:spacing w:line="360" w:lineRule="auto" w:before="0" w:after="0"/>
        <w:ind w:firstLine="480"/>
        <w:jc w:val="left"/>
      </w:pPr>
      <w:r>
        <w:rPr>
          <w:rFonts w:ascii="宋体" w:hAnsi="宋体" w:eastAsia="宋体"/>
          <w:b w:val="0"/>
          <w:sz w:val="24"/>
        </w:rPr>
        <w:t>● 大模型轻量化：多模态大模型参数量通常超过 100M，难以在无人机嵌入式平台部署。需研究模型蒸馏、重参数化、量化等技术，在保持精度前提下将参数量降至 25M 以下。</w:t>
      </w:r>
    </w:p>
    <w:p>
      <w:pPr>
        <w:spacing w:line="360" w:lineRule="auto" w:before="0" w:after="0"/>
        <w:ind w:firstLine="480"/>
        <w:jc w:val="left"/>
      </w:pPr>
      <w:r>
        <w:rPr>
          <w:rFonts w:ascii="宋体" w:hAnsi="宋体" w:eastAsia="宋体"/>
          <w:b w:val="0"/>
          <w:sz w:val="24"/>
        </w:rPr>
        <w:t>● 跨模态语义适配：搜索系统协同信号与多模态大模型语义信息存在不一致性，需研究跨模态对齐损失函数与适配网络，构建通用的搜索多模态大模型。</w:t>
      </w:r>
    </w:p>
    <w:p>
      <w:pPr>
        <w:spacing w:line="360" w:lineRule="auto" w:before="120" w:after="60"/>
        <w:jc w:val="left"/>
      </w:pPr>
      <w:r>
        <w:rPr>
          <w:rFonts w:ascii="宋体" w:hAnsi="宋体" w:eastAsia="宋体"/>
          <w:b/>
          <w:sz w:val="28"/>
        </w:rPr>
        <w:t>科学挑战二：特殊场景复杂环境下 3D 移动目标检测技术的研究</w:t>
      </w:r>
    </w:p>
    <w:p>
      <w:pPr>
        <w:spacing w:line="360" w:lineRule="auto" w:before="0" w:after="0"/>
        <w:ind w:firstLine="480"/>
        <w:jc w:val="left"/>
      </w:pPr>
      <w:r>
        <w:rPr>
          <w:rFonts w:ascii="宋体" w:hAnsi="宋体" w:eastAsia="宋体"/>
          <w:b w:val="0"/>
          <w:sz w:val="24"/>
        </w:rPr>
        <w:t>无人机跟踪的目标是通过搭载的相机捕获运动目标在航空视角下的信息。该跟踪性能受到目标运动、无人机飞行状态以及运行环境的共同影响[7-9]。在基于深度学习的无人机目标跟踪领域，存在多个待探索的方向。</w:t>
      </w:r>
    </w:p>
    <w:p>
      <w:pPr>
        <w:spacing w:line="360" w:lineRule="auto" w:before="0" w:after="0"/>
        <w:ind w:firstLine="480"/>
        <w:jc w:val="left"/>
      </w:pPr>
      <w:r>
        <w:rPr>
          <w:rFonts w:ascii="宋体" w:hAnsi="宋体" w:eastAsia="宋体"/>
          <w:b w:val="0"/>
          <w:sz w:val="24"/>
        </w:rPr>
        <w:t>● 目标跟踪技术控制：无人机不断飞行导致目标处于不断变化的复杂背景中，如何有效处理目标与背景的划分成为研究的关键。移动目标的姿态变化和位置变化引起的遮挡现象都需要得到合理处理。火场烟雾、强光、热辐射等极端环境进一步加剧了目标跟踪的难度，传统基于可见光的跟踪方法在烟雾环境下几乎失效[13-16]。</w:t>
      </w:r>
    </w:p>
    <w:p>
      <w:pPr>
        <w:spacing w:line="360" w:lineRule="auto" w:before="0" w:after="0"/>
        <w:ind w:firstLine="480"/>
        <w:jc w:val="left"/>
      </w:pPr>
      <w:r>
        <w:rPr>
          <w:rFonts w:ascii="宋体" w:hAnsi="宋体" w:eastAsia="宋体"/>
          <w:b w:val="0"/>
          <w:sz w:val="24"/>
        </w:rPr>
        <w:t>● 模型优化：模型优化面临挑战，需要繁琐的调参和预训练过程以发挥最佳性能。许多终端用户缺乏相关专业知识，难以从复杂的模型和数据中选择最优资源。对个别用户而言，由于计算资源不足，训练时间过长，使得算法调优变得更为困难[17-20]。</w:t>
      </w:r>
    </w:p>
    <w:p>
      <w:pPr>
        <w:spacing w:line="360" w:lineRule="auto" w:before="0" w:after="0"/>
        <w:ind w:firstLine="480"/>
        <w:jc w:val="left"/>
      </w:pPr>
      <w:r>
        <w:rPr>
          <w:rFonts w:ascii="宋体" w:hAnsi="宋体" w:eastAsia="宋体"/>
          <w:b w:val="0"/>
          <w:sz w:val="24"/>
        </w:rPr>
        <w:t>● 运行速度及实时处理：深度学习下实时跟踪的计算量巨大，对处理器性能有较高要求。减少跟踪算法的计算量是一个重要的挑战因素。火场救援场景要求毫秒级响应，传统算法难以满足[15]。</w:t>
      </w:r>
    </w:p>
    <w:p>
      <w:pPr>
        <w:spacing w:line="360" w:lineRule="auto" w:before="120" w:after="60"/>
        <w:jc w:val="left"/>
      </w:pPr>
      <w:r>
        <w:rPr>
          <w:rFonts w:ascii="宋体" w:hAnsi="宋体" w:eastAsia="宋体"/>
          <w:b/>
          <w:sz w:val="28"/>
        </w:rPr>
        <w:t>科学挑战三：深度学习下高性能计算的能耗与实时性关键技术的研究</w:t>
      </w:r>
    </w:p>
    <w:p>
      <w:pPr>
        <w:spacing w:line="360" w:lineRule="auto" w:before="0" w:after="0"/>
        <w:ind w:firstLine="480"/>
        <w:jc w:val="left"/>
      </w:pPr>
      <w:r>
        <w:rPr>
          <w:rFonts w:ascii="宋体" w:hAnsi="宋体" w:eastAsia="宋体"/>
          <w:b w:val="0"/>
          <w:sz w:val="24"/>
        </w:rPr>
        <w:t>在当前高性能计算领域，能耗问题成为备受关注的焦点。传统单核处理器的性能受到能耗因素的限制，而 CPU/GPU 异构系统则成为一种兼顾通用性和能耗的有前景高性能计算系统[6]。新型高性能计算系统为大规模科学计算和工程模拟类应用提供了发展机遇，但也使许多高性能计算面临巨大挑战。</w:t>
      </w:r>
    </w:p>
    <w:p>
      <w:pPr>
        <w:spacing w:line="360" w:lineRule="auto" w:before="0" w:after="0"/>
        <w:ind w:firstLine="480"/>
        <w:jc w:val="left"/>
      </w:pPr>
      <w:r>
        <w:rPr>
          <w:rFonts w:ascii="宋体" w:hAnsi="宋体" w:eastAsia="宋体"/>
          <w:b w:val="0"/>
          <w:sz w:val="24"/>
        </w:rPr>
        <w:t>● 缺少易用、高效的编程环境：目前广泛使用的 GPU 编程模型包括 AMD Stream SDK、OpenCL 和 NVIDIA CUDA。对于大型 CPU/GPU 异构高性能计算系统，通常采用在计算节点间使用 MPI，而在计算节点内使用 GPU 厂商提供的编程模型的方式。亟需建立能够有效开发整个 CPU/GPU 异构系统计算资源的并行编程模型。</w:t>
      </w:r>
    </w:p>
    <w:p>
      <w:pPr>
        <w:spacing w:line="360" w:lineRule="auto" w:before="0" w:after="0"/>
        <w:ind w:firstLine="480"/>
        <w:jc w:val="left"/>
      </w:pPr>
      <w:r>
        <w:rPr>
          <w:rFonts w:ascii="宋体" w:hAnsi="宋体" w:eastAsia="宋体"/>
          <w:b w:val="0"/>
          <w:sz w:val="24"/>
        </w:rPr>
        <w:t>● 缺少准确的可扩展性模型：可扩展性在并行计算中是一个关键研究领域。高性能计算系统的可扩展性受多种因素影响，包括算法内在并行性、各种并行开销、系统规模和问题规模等。应发展一种可扩展性度量指标，以全面评估并行系统/问题规模变化对高性能计算机和并行算法性能的影响。</w:t>
      </w:r>
    </w:p>
    <w:p>
      <w:pPr>
        <w:spacing w:line="360" w:lineRule="auto" w:before="120" w:after="120"/>
        <w:jc w:val="left"/>
      </w:pPr>
      <w:r>
        <w:rPr>
          <w:rFonts w:ascii="黑体" w:hAnsi="黑体" w:eastAsia="黑体"/>
          <w:b/>
          <w:sz w:val="30"/>
        </w:rPr>
        <w:t>3.3 研究意义与国内外研究现状</w:t>
      </w:r>
    </w:p>
    <w:p>
      <w:pPr>
        <w:spacing w:line="360" w:lineRule="auto" w:before="120" w:after="60"/>
        <w:jc w:val="left"/>
      </w:pPr>
      <w:r>
        <w:rPr>
          <w:rFonts w:ascii="宋体" w:hAnsi="宋体" w:eastAsia="宋体"/>
          <w:b/>
          <w:sz w:val="28"/>
        </w:rPr>
        <w:t>3.3.1 研究意义</w:t>
      </w:r>
    </w:p>
    <w:p>
      <w:pPr>
        <w:spacing w:line="360" w:lineRule="auto" w:before="0" w:after="0"/>
        <w:ind w:firstLine="480"/>
        <w:jc w:val="left"/>
      </w:pPr>
      <w:r>
        <w:rPr>
          <w:rFonts w:ascii="宋体" w:hAnsi="宋体" w:eastAsia="宋体"/>
          <w:b w:val="0"/>
          <w:sz w:val="24"/>
        </w:rPr>
        <w:t>（1）无人机目标跟踪与智慧消防紧密结合的重要意义：灭火救援对维护社会稳定、保障人民安全有十分重要的作用，无人机在消防救援领域的应用具有深远的意义[4]。无人机能够快速、灵活地进入事故现场，提供实时的空中视角，为消防人员提供全面的信息，有助于快速而精准地定位事故点，降低救援响应时间。</w:t>
      </w:r>
    </w:p>
    <w:p>
      <w:pPr>
        <w:spacing w:line="360" w:lineRule="auto" w:before="0" w:after="0"/>
        <w:ind w:firstLine="480"/>
        <w:jc w:val="left"/>
      </w:pPr>
      <w:r>
        <w:rPr>
          <w:rFonts w:ascii="宋体" w:hAnsi="宋体" w:eastAsia="宋体"/>
          <w:b w:val="0"/>
          <w:sz w:val="24"/>
        </w:rPr>
        <w:t>（2）多模态融合技术为 3D 目标跟踪与检测开辟了新途径：多模态融合在无人机目标跟踪与检测领域的研究具有重要的理论与实际意义[5]。将异构数据进行融合，不仅能够弥补单一传感器的不足，更能够实现信息的互补与协同，为无人机目标跟踪与检测任务提供了新的解决途径。</w:t>
      </w:r>
    </w:p>
    <w:p>
      <w:pPr>
        <w:spacing w:line="360" w:lineRule="auto" w:before="0" w:after="0"/>
        <w:ind w:firstLine="480"/>
        <w:jc w:val="left"/>
      </w:pPr>
      <w:r>
        <w:rPr>
          <w:rFonts w:ascii="宋体" w:hAnsi="宋体" w:eastAsia="宋体"/>
          <w:b w:val="0"/>
          <w:sz w:val="24"/>
        </w:rPr>
        <w:t>（3）构建并行运算构架对多模态深度学习的重要意义：在进行多目标任务跟踪的时候，需要实时处理视频信息，对图像处理的速率有一定要求，采用 GPU 并行运算技术[6]能够促进深度学习的运算效率，实现神经网络的优化。</w:t>
      </w:r>
    </w:p>
    <w:p>
      <w:pPr>
        <w:spacing w:line="360" w:lineRule="auto" w:before="120" w:after="60"/>
        <w:jc w:val="left"/>
      </w:pPr>
      <w:r>
        <w:rPr>
          <w:rFonts w:ascii="宋体" w:hAnsi="宋体" w:eastAsia="宋体"/>
          <w:b/>
          <w:sz w:val="28"/>
        </w:rPr>
        <w:t>3.3.2 国内外研究现状</w:t>
      </w:r>
    </w:p>
    <w:p>
      <w:pPr>
        <w:spacing w:line="360" w:lineRule="auto" w:before="0" w:after="0"/>
        <w:ind w:firstLine="480"/>
        <w:jc w:val="left"/>
      </w:pPr>
      <w:r>
        <w:rPr>
          <w:rFonts w:ascii="宋体" w:hAnsi="宋体" w:eastAsia="宋体"/>
          <w:b w:val="0"/>
          <w:sz w:val="24"/>
        </w:rPr>
        <w:t>（1）利用卷积神经网络进行目标跟踪的研究现状：随着卷积神经网络技术的发展，基于卷积神经网络的图像识别技术在各行业得到广泛应用。在深度学习领域，R-CNN、SSD 以及 YOLO 系列是目标检测领域的代表性算法[13-20]。Girshick 等人提出的 R-CNN[13] 是基于候选区域提取的目标检测算法系列奠基之作；Liu 等人提出的 SSD[15] 通过均匀采样实现单阶段检测；Redmon 创造了 YOLO[17]，将目标检测简化为单一回归问题，提升了效率和速度。</w:t>
      </w:r>
    </w:p>
    <w:p>
      <w:pPr>
        <w:spacing w:line="360" w:lineRule="auto" w:before="0" w:after="0"/>
        <w:ind w:firstLine="480"/>
        <w:jc w:val="left"/>
      </w:pPr>
      <w:r>
        <w:rPr>
          <w:rFonts w:ascii="宋体" w:hAnsi="宋体" w:eastAsia="宋体"/>
          <w:b w:val="0"/>
          <w:sz w:val="24"/>
        </w:rPr>
        <w:t>（2）多模态融合技术在机器视觉领域的研究现状：面向深度学习的多模态融合技术是指机器从文本、图像、语音等领域获取信息，实现转换与融合，提升模型性能[21]。多模态融合方法分为模型无关方法[22-24]和基于模型方法[25-32]，其中基于模型方法包括多核学习（MKL）、图像模型（GM）、神经网络（NN）等。近期神经网络方法通过使用循环神经网络（RNN）和长短期记忆网络（LSTM）来融合时间多模态信息[30]，相对于 MKL 和 GM 方法表现出更优的性能。</w:t>
      </w:r>
    </w:p>
    <w:p>
      <w:pPr>
        <w:spacing w:line="360" w:lineRule="auto" w:before="0" w:after="0"/>
        <w:ind w:firstLine="480"/>
        <w:jc w:val="left"/>
      </w:pPr>
      <w:r>
        <w:rPr>
          <w:rFonts w:ascii="宋体" w:hAnsi="宋体" w:eastAsia="宋体"/>
          <w:b w:val="0"/>
          <w:sz w:val="24"/>
        </w:rPr>
        <w:t>（3）近期大模型多模态融合技术发展：近一年来，基于大模型的多模态融合技术得到飞速发展。DynStatF 特征融合策略[33]通过当前单帧的精确位置信息增强多帧提供的丰富语义信息；CDDFuse 多模态特征融合法[34]利用 Restormer 模块提取跨模态的浅层特征，通过双分支 Transformer-CNN 结构处理全局和局部特征；MFDF 网络融合法[35]用于实时 RGB-D-T 显著目标检测。</w:t>
      </w:r>
    </w:p>
    <w:p>
      <w:pPr>
        <w:spacing w:line="360" w:lineRule="auto" w:before="120" w:after="60"/>
        <w:jc w:val="left"/>
      </w:pPr>
      <w:r>
        <w:rPr>
          <w:rFonts w:ascii="宋体" w:hAnsi="宋体" w:eastAsia="宋体"/>
          <w:b/>
          <w:sz w:val="28"/>
        </w:rPr>
        <w:t>3.3.3 对现有研究现状的总结与分析</w:t>
      </w:r>
    </w:p>
    <w:p>
      <w:pPr>
        <w:spacing w:line="360" w:lineRule="auto" w:before="0" w:after="0"/>
        <w:ind w:firstLine="480"/>
        <w:jc w:val="left"/>
      </w:pPr>
      <w:r>
        <w:rPr>
          <w:rFonts w:ascii="宋体" w:hAnsi="宋体" w:eastAsia="宋体"/>
          <w:b w:val="0"/>
          <w:sz w:val="24"/>
        </w:rPr>
        <w:t>多模态融合使得机器能够从多个感知通道获取信息，从而提高了对环境的综合感知能力。尽管已经取得了显著进展，但多模态融合技术仍然面临一些挑战，如异构数据融合和模态不平衡。在火灾搜索监测系统领域研究中，受限于搜索系统协同信号与多模态大模型语义信息的不一致性，如何将大模型与小模型结合，如何使协同信号与多模态语义信息相适配，构建出通用的搜索多模态大模型是本申请的重难点问题。本项目拟采用集成学习的方式，将大型模型与小型模型结合，研究轻量化多模态融合技术下的无人机目标检测。</w:t>
      </w:r>
    </w:p>
    <w:p>
      <w:pPr>
        <w:spacing w:line="360" w:lineRule="auto" w:before="120" w:after="60"/>
        <w:jc w:val="left"/>
      </w:pPr>
      <w:r>
        <w:rPr>
          <w:rFonts w:ascii="宋体" w:hAnsi="宋体" w:eastAsia="宋体"/>
          <w:b/>
          <w:sz w:val="28"/>
        </w:rPr>
        <w:t>3.3.4 参考文献</w:t>
      </w:r>
    </w:p>
    <w:p>
      <w:pPr>
        <w:spacing w:line="360" w:lineRule="auto" w:before="0" w:after="0"/>
        <w:jc w:val="left"/>
      </w:pPr>
      <w:r>
        <w:rPr>
          <w:rFonts w:ascii="宋体" w:hAnsi="宋体" w:eastAsia="宋体"/>
          <w:b w:val="0"/>
          <w:sz w:val="24"/>
        </w:rPr>
        <w:t>[1] 应急部. 关于印发《『十四五』应急救援力量建设规划》的通知[J]. 中华人民共和国国务院公报, 2022, (25): 42-49.</w:t>
      </w:r>
    </w:p>
    <w:p>
      <w:pPr>
        <w:spacing w:line="360" w:lineRule="auto" w:before="0" w:after="0"/>
        <w:jc w:val="left"/>
      </w:pPr>
      <w:r>
        <w:rPr>
          <w:rFonts w:ascii="宋体" w:hAnsi="宋体" w:eastAsia="宋体"/>
          <w:b w:val="0"/>
          <w:sz w:val="24"/>
        </w:rPr>
        <w:t>[2] 中国应急管理编辑部. 突出重点领域聚焦实战应用——《关于加快应急机器人发展的指导意见》解读[J]. 中国应急管理, 2024, (01): 76-79.</w:t>
      </w:r>
    </w:p>
    <w:p>
      <w:pPr>
        <w:spacing w:line="360" w:lineRule="auto" w:before="0" w:after="0"/>
        <w:jc w:val="left"/>
      </w:pPr>
      <w:r>
        <w:rPr>
          <w:rFonts w:ascii="宋体" w:hAnsi="宋体" w:eastAsia="宋体"/>
          <w:b w:val="0"/>
          <w:sz w:val="24"/>
        </w:rPr>
        <w:t>[3] Maksymiuk R, et al. 5G Network-Based Passive Radar for Drone Detection[J]. 2023 24th International Radar Symposium (IRS), IEEE, 2023: 1-10.</w:t>
      </w:r>
    </w:p>
    <w:p>
      <w:pPr>
        <w:spacing w:line="360" w:lineRule="auto" w:before="0" w:after="0"/>
        <w:jc w:val="left"/>
      </w:pPr>
      <w:r>
        <w:rPr>
          <w:rFonts w:ascii="宋体" w:hAnsi="宋体" w:eastAsia="宋体"/>
          <w:b w:val="0"/>
          <w:sz w:val="24"/>
        </w:rPr>
        <w:t>[4] Gupta A, Bhatnagar A, Mehta A Application of drones in maritime industry (firefighting)[J]. Bulletin of Marine Science and Technology, 2021, 14: 59-69.</w:t>
      </w:r>
    </w:p>
    <w:p>
      <w:pPr>
        <w:spacing w:line="360" w:lineRule="auto" w:before="0" w:after="0"/>
        <w:jc w:val="left"/>
      </w:pPr>
      <w:r>
        <w:rPr>
          <w:rFonts w:ascii="宋体" w:hAnsi="宋体" w:eastAsia="宋体"/>
          <w:b w:val="0"/>
          <w:sz w:val="24"/>
        </w:rPr>
        <w:t>[5] de Rochechouart M, et al. Drone Tracking Based on the Fusion of Staring Radar and Camera Data: An Experimental Study[J]. 2023 IEEE Radar Conference (RadarConf23), 2023: 01-06.</w:t>
      </w:r>
    </w:p>
    <w:p>
      <w:pPr>
        <w:spacing w:line="360" w:lineRule="auto" w:before="0" w:after="0"/>
        <w:jc w:val="left"/>
      </w:pPr>
      <w:r>
        <w:rPr>
          <w:rFonts w:ascii="宋体" w:hAnsi="宋体" w:eastAsia="宋体"/>
          <w:b w:val="0"/>
          <w:sz w:val="24"/>
        </w:rPr>
        <w:t>[6] Baji T GPU: the biggest key processor for AI and parallel processing[J]. Photomask Japan 2017, SPIE, 2017, 10454: 24-29.</w:t>
      </w:r>
    </w:p>
    <w:p>
      <w:pPr>
        <w:spacing w:line="360" w:lineRule="auto" w:before="0" w:after="0"/>
        <w:jc w:val="left"/>
      </w:pPr>
      <w:r>
        <w:rPr>
          <w:rFonts w:ascii="宋体" w:hAnsi="宋体" w:eastAsia="宋体"/>
          <w:b w:val="0"/>
          <w:sz w:val="24"/>
        </w:rPr>
        <w:t>[7] Wei Z, et al. UAV-Assisted Data Collection for Internet of Things: A Survey[J]. IEEE Internet of Things Journal, 2022, 9(17): 15460-15483.</w:t>
      </w:r>
    </w:p>
    <w:p>
      <w:pPr>
        <w:spacing w:line="360" w:lineRule="auto" w:before="0" w:after="0"/>
        <w:jc w:val="left"/>
      </w:pPr>
      <w:r>
        <w:rPr>
          <w:rFonts w:ascii="宋体" w:hAnsi="宋体" w:eastAsia="宋体"/>
          <w:b w:val="0"/>
          <w:sz w:val="24"/>
        </w:rPr>
        <w:t>[8] Farmani N, et al. Tracking multiple mobile targets using cooperative Unmanned Aerial Vehicles[J]. 2015 International Conference on Unmanned Aircraft Systems (ICUAS), 2015: 395-400.</w:t>
      </w:r>
    </w:p>
    <w:p>
      <w:pPr>
        <w:spacing w:line="360" w:lineRule="auto" w:before="0" w:after="0"/>
        <w:jc w:val="left"/>
      </w:pPr>
      <w:r>
        <w:rPr>
          <w:rFonts w:ascii="宋体" w:hAnsi="宋体" w:eastAsia="宋体"/>
          <w:b w:val="0"/>
          <w:sz w:val="24"/>
        </w:rPr>
        <w:t>[9] Su J, et al. AI meets UAVs: A survey on AI empowered UAV perception systems for precision agriculture[J]. Neurocomputing, 2023, 518: 242-270.</w:t>
      </w:r>
    </w:p>
    <w:p>
      <w:pPr>
        <w:spacing w:line="360" w:lineRule="auto" w:before="0" w:after="0"/>
        <w:jc w:val="left"/>
      </w:pPr>
      <w:r>
        <w:rPr>
          <w:rFonts w:ascii="宋体" w:hAnsi="宋体" w:eastAsia="宋体"/>
          <w:b w:val="0"/>
          <w:sz w:val="24"/>
        </w:rPr>
        <w:t>[10] Sarkar N I, Gul S Artificial Intelligence-Based Autonomous UAV Networks: A Survey[J]. Drones, 2023, 7(5): 322.</w:t>
      </w:r>
    </w:p>
    <w:p>
      <w:pPr>
        <w:spacing w:line="360" w:lineRule="auto" w:before="0" w:after="0"/>
        <w:jc w:val="left"/>
      </w:pPr>
      <w:r>
        <w:rPr>
          <w:rFonts w:ascii="宋体" w:hAnsi="宋体" w:eastAsia="宋体"/>
          <w:b w:val="0"/>
          <w:sz w:val="24"/>
        </w:rPr>
        <w:t>[11] 芦艳春, 周开园, 张建杰. 无人机的发展现状及其在航空应急救援领域的应用综述[J]. 医疗卫生装备, 2023, 44(10): 108-113.</w:t>
      </w:r>
    </w:p>
    <w:p>
      <w:pPr>
        <w:spacing w:line="360" w:lineRule="auto" w:before="0" w:after="0"/>
        <w:jc w:val="left"/>
      </w:pPr>
      <w:r>
        <w:rPr>
          <w:rFonts w:ascii="宋体" w:hAnsi="宋体" w:eastAsia="宋体"/>
          <w:b w:val="0"/>
          <w:sz w:val="24"/>
        </w:rPr>
        <w:t>[12] 钟映霞. 无人机在森林火灾调查中的应用研究[J]. 华南农业大学硕士学位论文, 2023: 1-78.</w:t>
      </w:r>
    </w:p>
    <w:p>
      <w:pPr>
        <w:spacing w:line="360" w:lineRule="auto" w:before="0" w:after="0"/>
        <w:jc w:val="left"/>
      </w:pPr>
      <w:r>
        <w:rPr>
          <w:rFonts w:ascii="宋体" w:hAnsi="宋体" w:eastAsia="宋体"/>
          <w:b w:val="0"/>
          <w:sz w:val="24"/>
        </w:rPr>
        <w:t>[13] Girshick R, et al. Rich feature hierarchies for accurate object detection and semantic segmentation[J]. Proceedings of the IEEE conference on computer vision and pattern recognition, 2014: 580-587.</w:t>
      </w:r>
    </w:p>
    <w:p>
      <w:pPr>
        <w:spacing w:line="360" w:lineRule="auto" w:before="0" w:after="0"/>
        <w:jc w:val="left"/>
      </w:pPr>
      <w:r>
        <w:rPr>
          <w:rFonts w:ascii="宋体" w:hAnsi="宋体" w:eastAsia="宋体"/>
          <w:b w:val="0"/>
          <w:sz w:val="24"/>
        </w:rPr>
        <w:t>[14] 张倩, 周平平, 王公堂, 等. 基于合成图像的 Faster R-CNN 森林火灾烟雾检测[J]. 山东师范大学学报: 自然科学版, 2019, 34(2): 180-185.</w:t>
      </w:r>
    </w:p>
    <w:p>
      <w:pPr>
        <w:spacing w:line="360" w:lineRule="auto" w:before="0" w:after="0"/>
        <w:jc w:val="left"/>
      </w:pPr>
      <w:r>
        <w:rPr>
          <w:rFonts w:ascii="宋体" w:hAnsi="宋体" w:eastAsia="宋体"/>
          <w:b w:val="0"/>
          <w:sz w:val="24"/>
        </w:rPr>
        <w:t>[15] Liu W, et al. SSD: Single Shot MultiBox Detector[J]. European conference on computer vision, Springer, 2016: 21-37.</w:t>
      </w:r>
    </w:p>
    <w:p>
      <w:pPr>
        <w:spacing w:line="360" w:lineRule="auto" w:before="0" w:after="0"/>
        <w:jc w:val="left"/>
      </w:pPr>
      <w:r>
        <w:rPr>
          <w:rFonts w:ascii="宋体" w:hAnsi="宋体" w:eastAsia="宋体"/>
          <w:b w:val="0"/>
          <w:sz w:val="24"/>
        </w:rPr>
        <w:t>[16] 刘丽娟, 陈松楠. 一种基于改进 SSD 的烟雾实时检测模型[J]. 信阳师范学院学报 (自然科学版), 2020, 33(2): 305-311.</w:t>
      </w:r>
    </w:p>
    <w:p>
      <w:pPr>
        <w:spacing w:line="360" w:lineRule="auto" w:before="0" w:after="0"/>
        <w:jc w:val="left"/>
      </w:pPr>
      <w:r>
        <w:rPr>
          <w:rFonts w:ascii="宋体" w:hAnsi="宋体" w:eastAsia="宋体"/>
          <w:b w:val="0"/>
          <w:sz w:val="24"/>
        </w:rPr>
        <w:t>[17] Redmon J, et al. You only look once: Unified, real-time object detection[J]. Proceedings of the IEEE conference on computer vision and pattern recognition, 2016: 779-788.</w:t>
      </w:r>
    </w:p>
    <w:p>
      <w:pPr>
        <w:spacing w:line="360" w:lineRule="auto" w:before="0" w:after="0"/>
        <w:jc w:val="left"/>
      </w:pPr>
      <w:r>
        <w:rPr>
          <w:rFonts w:ascii="宋体" w:hAnsi="宋体" w:eastAsia="宋体"/>
          <w:b w:val="0"/>
          <w:sz w:val="24"/>
        </w:rPr>
        <w:t>[18] He K, et al. Deep residual learning for image recognition[J]. Proceedings of the IEEE conference on computer vision and pattern recognition, 2016: 770-778.</w:t>
      </w:r>
    </w:p>
    <w:p>
      <w:pPr>
        <w:spacing w:line="360" w:lineRule="auto" w:before="0" w:after="0"/>
        <w:jc w:val="left"/>
      </w:pPr>
      <w:r>
        <w:rPr>
          <w:rFonts w:ascii="宋体" w:hAnsi="宋体" w:eastAsia="宋体"/>
          <w:b w:val="0"/>
          <w:sz w:val="24"/>
        </w:rPr>
        <w:t>[19] Shen D, et al. Flame detection using deep learning[J]. 2018 4th International conference on control, automation and robotics (ICCAR), 2018: 416-420.</w:t>
      </w:r>
    </w:p>
    <w:p>
      <w:pPr>
        <w:spacing w:line="360" w:lineRule="auto" w:before="0" w:after="0"/>
        <w:jc w:val="left"/>
      </w:pPr>
      <w:r>
        <w:rPr>
          <w:rFonts w:ascii="宋体" w:hAnsi="宋体" w:eastAsia="宋体"/>
          <w:b w:val="0"/>
          <w:sz w:val="24"/>
        </w:rPr>
        <w:t>[20] 祖鑫萍, 李丹. 基于无人机图像和改进 YOLOv3-SPP 算法的森林火灾烟雾识别方法[J]. 林业工程学报, 2022, 7(05): 142-149.</w:t>
      </w:r>
    </w:p>
    <w:p>
      <w:pPr>
        <w:spacing w:line="360" w:lineRule="auto" w:before="0" w:after="0"/>
        <w:jc w:val="left"/>
      </w:pPr>
      <w:r>
        <w:rPr>
          <w:rFonts w:ascii="宋体" w:hAnsi="宋体" w:eastAsia="宋体"/>
          <w:b w:val="0"/>
          <w:sz w:val="24"/>
        </w:rPr>
        <w:t>[21] Jokinen K, Raike A Multimodality-technology, visions and demands for the future[J]. Proceedings of the 1st Nordic Symposium on Multimodal Interfaces, 2003: 239-251.</w:t>
      </w:r>
    </w:p>
    <w:p>
      <w:pPr>
        <w:spacing w:line="360" w:lineRule="auto" w:before="0" w:after="0"/>
        <w:jc w:val="left"/>
      </w:pPr>
      <w:r>
        <w:rPr>
          <w:rFonts w:ascii="宋体" w:hAnsi="宋体" w:eastAsia="宋体"/>
          <w:b w:val="0"/>
          <w:sz w:val="24"/>
        </w:rPr>
        <w:t>[22] Castellano G, et al. Emotion Recognition through Multiple Modalities: Face, Body Gesture, Speech[J]. Affect and Emotion in Human-Computer Interaction, 2008: 92-103.</w:t>
      </w:r>
    </w:p>
    <w:p>
      <w:pPr>
        <w:spacing w:line="360" w:lineRule="auto" w:before="0" w:after="0"/>
        <w:jc w:val="left"/>
      </w:pPr>
      <w:r>
        <w:rPr>
          <w:rFonts w:ascii="宋体" w:hAnsi="宋体" w:eastAsia="宋体"/>
          <w:b w:val="0"/>
          <w:sz w:val="24"/>
        </w:rPr>
        <w:t>[23] Ramírez G A, et al. Modeling Latent Discriminative Dynamic of Multi-dimensional Affective Signals[J]. Affective Computing and Intelligent Interaction, 2011: 396-406.</w:t>
      </w:r>
    </w:p>
    <w:p>
      <w:pPr>
        <w:spacing w:line="360" w:lineRule="auto" w:before="0" w:after="0"/>
        <w:jc w:val="left"/>
      </w:pPr>
      <w:r>
        <w:rPr>
          <w:rFonts w:ascii="宋体" w:hAnsi="宋体" w:eastAsia="宋体"/>
          <w:b w:val="0"/>
          <w:sz w:val="24"/>
        </w:rPr>
        <w:t>[24] Lan Z, et al. Multimedia classification and event detection using double fusion[J]. Multimedia Tools and Applications, 2014, 71: 333-347.</w:t>
      </w:r>
    </w:p>
    <w:p>
      <w:pPr>
        <w:spacing w:line="360" w:lineRule="auto" w:before="0" w:after="0"/>
        <w:jc w:val="left"/>
      </w:pPr>
      <w:r>
        <w:rPr>
          <w:rFonts w:ascii="宋体" w:hAnsi="宋体" w:eastAsia="宋体"/>
          <w:b w:val="0"/>
          <w:sz w:val="24"/>
        </w:rPr>
        <w:t>[25] Bucak S S, et al. Multiple Kernel Learning for Visual Object Recognition: A Review[J]. IEEE Transactions on Pattern Analysis and Machine Intelligence, 2014, 36: 1354-1369.</w:t>
      </w:r>
    </w:p>
    <w:p>
      <w:pPr>
        <w:spacing w:line="360" w:lineRule="auto" w:before="0" w:after="0"/>
        <w:jc w:val="left"/>
      </w:pPr>
      <w:r>
        <w:rPr>
          <w:rFonts w:ascii="宋体" w:hAnsi="宋体" w:eastAsia="宋体"/>
          <w:b w:val="0"/>
          <w:sz w:val="24"/>
        </w:rPr>
        <w:t>[26] Jaques N, et al. Multi-task, multi-kernel learning for estimating individual wellbeing[J]. Proc. NIPS Workshop on Multimodal Machine Learning, 2015, 898: 3.</w:t>
      </w:r>
    </w:p>
    <w:p>
      <w:pPr>
        <w:spacing w:line="360" w:lineRule="auto" w:before="0" w:after="0"/>
        <w:jc w:val="left"/>
      </w:pPr>
      <w:r>
        <w:rPr>
          <w:rFonts w:ascii="宋体" w:hAnsi="宋体" w:eastAsia="宋体"/>
          <w:b w:val="0"/>
          <w:sz w:val="24"/>
        </w:rPr>
        <w:t>[27] Gurban M, et al. Dynamic modality weighting for multi-stream in audio-visual speech recognition[J]. International Conference on Multimodal Interaction, 2008: 237-240.</w:t>
      </w:r>
    </w:p>
    <w:p>
      <w:pPr>
        <w:spacing w:line="360" w:lineRule="auto" w:before="0" w:after="0"/>
        <w:jc w:val="left"/>
      </w:pPr>
      <w:r>
        <w:rPr>
          <w:rFonts w:ascii="宋体" w:hAnsi="宋体" w:eastAsia="宋体"/>
          <w:b w:val="0"/>
          <w:sz w:val="24"/>
        </w:rPr>
        <w:t>[28] Baltrušaitis T, et al. Dimensional affect recognition using Continuous Conditional Random Fields[J]. 2013 10th IEEE International Conference and Workshops on Automatic Face and Gesture Recognition (FG), 2013: 1-8.</w:t>
      </w:r>
    </w:p>
    <w:p>
      <w:pPr>
        <w:spacing w:line="360" w:lineRule="auto" w:before="0" w:after="0"/>
        <w:jc w:val="left"/>
      </w:pPr>
      <w:r>
        <w:rPr>
          <w:rFonts w:ascii="宋体" w:hAnsi="宋体" w:eastAsia="宋体"/>
          <w:b w:val="0"/>
          <w:sz w:val="24"/>
        </w:rPr>
        <w:t>[29] Jiang X, et al. The classification of multi-modal data with hidden conditional random field[J]. Pattern Recognit. Lett, 2015, 51: 63-69.</w:t>
      </w:r>
    </w:p>
    <w:p>
      <w:pPr>
        <w:spacing w:line="360" w:lineRule="auto" w:before="0" w:after="0"/>
        <w:jc w:val="left"/>
      </w:pPr>
      <w:r>
        <w:rPr>
          <w:rFonts w:ascii="宋体" w:hAnsi="宋体" w:eastAsia="宋体"/>
          <w:b w:val="0"/>
          <w:sz w:val="24"/>
        </w:rPr>
        <w:t>[30] Kahou S E, et al. EmoNets: Multimodal deep learning approaches for emotion recognition in video[J]. Journal on Multimodal User Interfaces, 2015, 10: 99-111.</w:t>
      </w:r>
    </w:p>
    <w:p>
      <w:pPr>
        <w:spacing w:line="360" w:lineRule="auto" w:before="0" w:after="0"/>
        <w:jc w:val="left"/>
      </w:pPr>
      <w:r>
        <w:rPr>
          <w:rFonts w:ascii="宋体" w:hAnsi="宋体" w:eastAsia="宋体"/>
          <w:b w:val="0"/>
          <w:sz w:val="24"/>
        </w:rPr>
        <w:t>[31] Ngiam J, et al. Multimodal Deep Learning[J]. International Conference on Machine Learning, 2011: 689-696.</w:t>
      </w:r>
    </w:p>
    <w:p>
      <w:pPr>
        <w:spacing w:line="360" w:lineRule="auto" w:before="0" w:after="0"/>
        <w:jc w:val="left"/>
      </w:pPr>
      <w:r>
        <w:rPr>
          <w:rFonts w:ascii="宋体" w:hAnsi="宋体" w:eastAsia="宋体"/>
          <w:b w:val="0"/>
          <w:sz w:val="24"/>
        </w:rPr>
        <w:t>[32] Chen S, Jin Q Multi-modal Dimensional Emotion Recognition using Recurrent Neural Networks[J]. Proceedings of the 5th International Workshop on Audio/Visual Emotion Challenge, 2015: 49-56.</w:t>
      </w:r>
    </w:p>
    <w:p>
      <w:pPr>
        <w:spacing w:line="360" w:lineRule="auto" w:before="0" w:after="0"/>
        <w:jc w:val="left"/>
      </w:pPr>
      <w:r>
        <w:rPr>
          <w:rFonts w:ascii="宋体" w:hAnsi="宋体" w:eastAsia="宋体"/>
          <w:b w:val="0"/>
          <w:sz w:val="24"/>
        </w:rPr>
        <w:t>[33] Rong Y, et al. DynStatF: An Efficient Feature Fusion Strategy for LiDAR 3D Object Detection[J]. 2023 IEEE/CVF Conference on Computer Vision and Pattern Recognition Workshops (CVPRW), 2023: 3238-3247.</w:t>
      </w:r>
    </w:p>
    <w:p>
      <w:pPr>
        <w:spacing w:line="360" w:lineRule="auto" w:before="0" w:after="0"/>
        <w:jc w:val="left"/>
      </w:pPr>
      <w:r>
        <w:rPr>
          <w:rFonts w:ascii="宋体" w:hAnsi="宋体" w:eastAsia="宋体"/>
          <w:b w:val="0"/>
          <w:sz w:val="24"/>
        </w:rPr>
        <w:t>[34] Zhao Z, et al. CDDFuse: Correlation-Driven Dual-Branch Feature Decomposition for Multi-Modality Image Fusion[J]. 2023 IEEE/CVF Conference on Computer Vision and Pattern Recognition (CVPR), 2023: 5906-5916.</w:t>
      </w:r>
    </w:p>
    <w:p>
      <w:pPr>
        <w:spacing w:line="360" w:lineRule="auto" w:before="0" w:after="0"/>
        <w:jc w:val="left"/>
      </w:pPr>
      <w:r>
        <w:rPr>
          <w:rFonts w:ascii="宋体" w:hAnsi="宋体" w:eastAsia="宋体"/>
          <w:b w:val="0"/>
          <w:sz w:val="24"/>
        </w:rPr>
        <w:t>[35] Song K, et al. Lightweight multi-level feature difference fusion network for RGB-D-T salient object detection[J]. J. King Saud Univ. Comput. Inf. Sci, 2023, 35: 101702.</w:t>
      </w:r>
    </w:p>
    <w:p>
      <w:pPr>
        <w:spacing w:line="360" w:lineRule="auto" w:before="120" w:after="120"/>
        <w:jc w:val="left"/>
      </w:pPr>
      <w:r>
        <w:rPr>
          <w:rFonts w:ascii="黑体" w:hAnsi="黑体" w:eastAsia="黑体"/>
          <w:b/>
          <w:sz w:val="30"/>
        </w:rPr>
        <w:t>3.4 算法对比分析</w:t>
      </w:r>
    </w:p>
    <w:p>
      <w:pPr>
        <w:spacing w:line="360" w:lineRule="auto" w:before="120" w:after="60"/>
        <w:jc w:val="center"/>
      </w:pPr>
      <w:r>
        <w:rPr>
          <w:rFonts w:ascii="黑体" w:hAnsi="黑体" w:eastAsia="黑体"/>
          <w:b w:val="0"/>
          <w:sz w:val="21"/>
        </w:rPr>
        <w:t>表 1.2 基于深度学习的目标跟踪检测算法优缺点对比分析</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pPr>
              <w:spacing w:line="300" w:lineRule="auto"/>
              <w:jc w:val="center"/>
            </w:pPr>
            <w:r/>
            <w:r>
              <w:rPr>
                <w:rFonts w:ascii="宋体" w:hAnsi="宋体" w:eastAsia="宋体"/>
                <w:b/>
                <w:sz w:val="21"/>
              </w:rPr>
              <w:t>模型</w:t>
            </w:r>
          </w:p>
        </w:tc>
        <w:tc>
          <w:tcPr>
            <w:tcW w:type="dxa" w:w="1512"/>
            <w:vAlign w:val="center"/>
          </w:tcPr>
          <w:p>
            <w:pPr>
              <w:spacing w:line="300" w:lineRule="auto"/>
              <w:jc w:val="center"/>
            </w:pPr>
            <w:r/>
            <w:r>
              <w:rPr>
                <w:rFonts w:ascii="宋体" w:hAnsi="宋体" w:eastAsia="宋体"/>
                <w:b/>
                <w:sz w:val="21"/>
              </w:rPr>
              <w:t>文献</w:t>
            </w:r>
          </w:p>
        </w:tc>
        <w:tc>
          <w:tcPr>
            <w:tcW w:type="dxa" w:w="1512"/>
            <w:vAlign w:val="center"/>
          </w:tcPr>
          <w:p>
            <w:pPr>
              <w:spacing w:line="300" w:lineRule="auto"/>
              <w:jc w:val="center"/>
            </w:pPr>
            <w:r/>
            <w:r>
              <w:rPr>
                <w:rFonts w:ascii="宋体" w:hAnsi="宋体" w:eastAsia="宋体"/>
                <w:b/>
                <w:sz w:val="21"/>
              </w:rPr>
              <w:t>技术特点</w:t>
            </w:r>
          </w:p>
        </w:tc>
        <w:tc>
          <w:tcPr>
            <w:tcW w:type="dxa" w:w="1512"/>
            <w:vAlign w:val="center"/>
          </w:tcPr>
          <w:p>
            <w:pPr>
              <w:spacing w:line="300" w:lineRule="auto"/>
              <w:jc w:val="center"/>
            </w:pPr>
            <w:r/>
            <w:r>
              <w:rPr>
                <w:rFonts w:ascii="宋体" w:hAnsi="宋体" w:eastAsia="宋体"/>
                <w:b/>
                <w:sz w:val="21"/>
              </w:rPr>
              <w:t>优势</w:t>
            </w:r>
          </w:p>
        </w:tc>
        <w:tc>
          <w:tcPr>
            <w:tcW w:type="dxa" w:w="1512"/>
            <w:vAlign w:val="center"/>
          </w:tcPr>
          <w:p>
            <w:pPr>
              <w:spacing w:line="300" w:lineRule="auto"/>
              <w:jc w:val="center"/>
            </w:pPr>
            <w:r/>
            <w:r>
              <w:rPr>
                <w:rFonts w:ascii="宋体" w:hAnsi="宋体" w:eastAsia="宋体"/>
                <w:b/>
                <w:sz w:val="21"/>
              </w:rPr>
              <w:t>劣势</w:t>
            </w:r>
          </w:p>
        </w:tc>
        <w:tc>
          <w:tcPr>
            <w:tcW w:type="dxa" w:w="1512"/>
            <w:vAlign w:val="center"/>
          </w:tcPr>
          <w:p>
            <w:pPr>
              <w:spacing w:line="300" w:lineRule="auto"/>
              <w:jc w:val="center"/>
            </w:pPr>
            <w:r/>
            <w:r>
              <w:rPr>
                <w:rFonts w:ascii="宋体" w:hAnsi="宋体" w:eastAsia="宋体"/>
                <w:b/>
                <w:sz w:val="21"/>
              </w:rPr>
              <w:t>适用场景</w:t>
            </w:r>
          </w:p>
        </w:tc>
      </w:tr>
      <w:tr>
        <w:tc>
          <w:tcPr>
            <w:tcW w:type="dxa" w:w="1512"/>
            <w:vAlign w:val="center"/>
          </w:tcPr>
          <w:p>
            <w:pPr>
              <w:spacing w:line="300" w:lineRule="auto"/>
              <w:jc w:val="center"/>
            </w:pPr>
            <w:r/>
            <w:r>
              <w:rPr>
                <w:rFonts w:ascii="宋体" w:hAnsi="宋体" w:eastAsia="宋体"/>
                <w:b w:val="0"/>
                <w:sz w:val="21"/>
              </w:rPr>
              <w:t>R-CNN 系列</w:t>
            </w:r>
          </w:p>
        </w:tc>
        <w:tc>
          <w:tcPr>
            <w:tcW w:type="dxa" w:w="1512"/>
            <w:vAlign w:val="center"/>
          </w:tcPr>
          <w:p>
            <w:pPr>
              <w:spacing w:line="300" w:lineRule="auto"/>
              <w:jc w:val="center"/>
            </w:pPr>
            <w:r/>
            <w:r>
              <w:rPr>
                <w:rFonts w:ascii="宋体" w:hAnsi="宋体" w:eastAsia="宋体"/>
                <w:b w:val="0"/>
                <w:sz w:val="21"/>
              </w:rPr>
              <w:t>[13,14]</w:t>
            </w:r>
          </w:p>
        </w:tc>
        <w:tc>
          <w:tcPr>
            <w:tcW w:type="dxa" w:w="1512"/>
            <w:vAlign w:val="center"/>
          </w:tcPr>
          <w:p>
            <w:pPr>
              <w:spacing w:line="300" w:lineRule="auto"/>
              <w:jc w:val="center"/>
            </w:pPr>
            <w:r/>
            <w:r>
              <w:rPr>
                <w:rFonts w:ascii="宋体" w:hAnsi="宋体" w:eastAsia="宋体"/>
                <w:b w:val="0"/>
                <w:sz w:val="21"/>
              </w:rPr>
              <w:t>两阶段检测，先区域提取再分类</w:t>
            </w:r>
          </w:p>
        </w:tc>
        <w:tc>
          <w:tcPr>
            <w:tcW w:type="dxa" w:w="1512"/>
            <w:vAlign w:val="center"/>
          </w:tcPr>
          <w:p>
            <w:pPr>
              <w:spacing w:line="300" w:lineRule="auto"/>
              <w:jc w:val="center"/>
            </w:pPr>
            <w:r/>
            <w:r>
              <w:rPr>
                <w:rFonts w:ascii="宋体" w:hAnsi="宋体" w:eastAsia="宋体"/>
                <w:b w:val="0"/>
                <w:sz w:val="21"/>
              </w:rPr>
              <w:t>识别精度高，对小目标敏感</w:t>
            </w:r>
          </w:p>
        </w:tc>
        <w:tc>
          <w:tcPr>
            <w:tcW w:type="dxa" w:w="1512"/>
            <w:vAlign w:val="center"/>
          </w:tcPr>
          <w:p>
            <w:pPr>
              <w:spacing w:line="300" w:lineRule="auto"/>
              <w:jc w:val="center"/>
            </w:pPr>
            <w:r/>
            <w:r>
              <w:rPr>
                <w:rFonts w:ascii="宋体" w:hAnsi="宋体" w:eastAsia="宋体"/>
                <w:b w:val="0"/>
                <w:sz w:val="21"/>
              </w:rPr>
              <w:t>速度慢，每张图需上千次前向计算</w:t>
            </w:r>
          </w:p>
        </w:tc>
        <w:tc>
          <w:tcPr>
            <w:tcW w:type="dxa" w:w="1512"/>
            <w:vAlign w:val="center"/>
          </w:tcPr>
          <w:p>
            <w:pPr>
              <w:spacing w:line="300" w:lineRule="auto"/>
              <w:jc w:val="center"/>
            </w:pPr>
            <w:r/>
            <w:r>
              <w:rPr>
                <w:rFonts w:ascii="宋体" w:hAnsi="宋体" w:eastAsia="宋体"/>
                <w:b w:val="0"/>
                <w:sz w:val="21"/>
              </w:rPr>
              <w:t>静态场景高精度识别</w:t>
            </w:r>
          </w:p>
        </w:tc>
      </w:tr>
      <w:tr>
        <w:tc>
          <w:tcPr>
            <w:tcW w:type="dxa" w:w="1512"/>
            <w:vAlign w:val="center"/>
          </w:tcPr>
          <w:p>
            <w:pPr>
              <w:spacing w:line="300" w:lineRule="auto"/>
              <w:jc w:val="center"/>
            </w:pPr>
            <w:r/>
            <w:r>
              <w:rPr>
                <w:rFonts w:ascii="宋体" w:hAnsi="宋体" w:eastAsia="宋体"/>
                <w:b w:val="0"/>
                <w:sz w:val="21"/>
              </w:rPr>
              <w:t>SSD 系列</w:t>
            </w:r>
          </w:p>
        </w:tc>
        <w:tc>
          <w:tcPr>
            <w:tcW w:type="dxa" w:w="1512"/>
            <w:vAlign w:val="center"/>
          </w:tcPr>
          <w:p>
            <w:pPr>
              <w:spacing w:line="300" w:lineRule="auto"/>
              <w:jc w:val="center"/>
            </w:pPr>
            <w:r/>
            <w:r>
              <w:rPr>
                <w:rFonts w:ascii="宋体" w:hAnsi="宋体" w:eastAsia="宋体"/>
                <w:b w:val="0"/>
                <w:sz w:val="21"/>
              </w:rPr>
              <w:t>[15,16]</w:t>
            </w:r>
          </w:p>
        </w:tc>
        <w:tc>
          <w:tcPr>
            <w:tcW w:type="dxa" w:w="1512"/>
            <w:vAlign w:val="center"/>
          </w:tcPr>
          <w:p>
            <w:pPr>
              <w:spacing w:line="300" w:lineRule="auto"/>
              <w:jc w:val="center"/>
            </w:pPr>
            <w:r/>
            <w:r>
              <w:rPr>
                <w:rFonts w:ascii="宋体" w:hAnsi="宋体" w:eastAsia="宋体"/>
                <w:b w:val="0"/>
                <w:sz w:val="21"/>
              </w:rPr>
              <w:t>单阶段检测，多尺度特征图</w:t>
            </w:r>
          </w:p>
        </w:tc>
        <w:tc>
          <w:tcPr>
            <w:tcW w:type="dxa" w:w="1512"/>
            <w:vAlign w:val="center"/>
          </w:tcPr>
          <w:p>
            <w:pPr>
              <w:spacing w:line="300" w:lineRule="auto"/>
              <w:jc w:val="center"/>
            </w:pPr>
            <w:r/>
            <w:r>
              <w:rPr>
                <w:rFonts w:ascii="宋体" w:hAnsi="宋体" w:eastAsia="宋体"/>
                <w:b w:val="0"/>
                <w:sz w:val="21"/>
              </w:rPr>
              <w:t>速度较快，精度适中</w:t>
            </w:r>
          </w:p>
        </w:tc>
        <w:tc>
          <w:tcPr>
            <w:tcW w:type="dxa" w:w="1512"/>
            <w:vAlign w:val="center"/>
          </w:tcPr>
          <w:p>
            <w:pPr>
              <w:spacing w:line="300" w:lineRule="auto"/>
              <w:jc w:val="center"/>
            </w:pPr>
            <w:r/>
            <w:r>
              <w:rPr>
                <w:rFonts w:ascii="宋体" w:hAnsi="宋体" w:eastAsia="宋体"/>
                <w:b w:val="0"/>
                <w:sz w:val="21"/>
              </w:rPr>
              <w:t>小目标信息丢失，密集场景表现差</w:t>
            </w:r>
          </w:p>
        </w:tc>
        <w:tc>
          <w:tcPr>
            <w:tcW w:type="dxa" w:w="1512"/>
            <w:vAlign w:val="center"/>
          </w:tcPr>
          <w:p>
            <w:pPr>
              <w:spacing w:line="300" w:lineRule="auto"/>
              <w:jc w:val="center"/>
            </w:pPr>
            <w:r/>
            <w:r>
              <w:rPr>
                <w:rFonts w:ascii="宋体" w:hAnsi="宋体" w:eastAsia="宋体"/>
                <w:b w:val="0"/>
                <w:sz w:val="21"/>
              </w:rPr>
              <w:t>实时性要求中等场景</w:t>
            </w:r>
          </w:p>
        </w:tc>
      </w:tr>
      <w:tr>
        <w:tc>
          <w:tcPr>
            <w:tcW w:type="dxa" w:w="1512"/>
            <w:vAlign w:val="center"/>
          </w:tcPr>
          <w:p>
            <w:pPr>
              <w:spacing w:line="300" w:lineRule="auto"/>
              <w:jc w:val="center"/>
            </w:pPr>
            <w:r/>
            <w:r>
              <w:rPr>
                <w:rFonts w:ascii="宋体" w:hAnsi="宋体" w:eastAsia="宋体"/>
                <w:b w:val="0"/>
                <w:sz w:val="21"/>
              </w:rPr>
              <w:t>YOLO 系列</w:t>
            </w:r>
          </w:p>
        </w:tc>
        <w:tc>
          <w:tcPr>
            <w:tcW w:type="dxa" w:w="1512"/>
            <w:vAlign w:val="center"/>
          </w:tcPr>
          <w:p>
            <w:pPr>
              <w:spacing w:line="300" w:lineRule="auto"/>
              <w:jc w:val="center"/>
            </w:pPr>
            <w:r/>
            <w:r>
              <w:rPr>
                <w:rFonts w:ascii="宋体" w:hAnsi="宋体" w:eastAsia="宋体"/>
                <w:b w:val="0"/>
                <w:sz w:val="21"/>
              </w:rPr>
              <w:t>[17-20]</w:t>
            </w:r>
          </w:p>
        </w:tc>
        <w:tc>
          <w:tcPr>
            <w:tcW w:type="dxa" w:w="1512"/>
            <w:vAlign w:val="center"/>
          </w:tcPr>
          <w:p>
            <w:pPr>
              <w:spacing w:line="300" w:lineRule="auto"/>
              <w:jc w:val="center"/>
            </w:pPr>
            <w:r/>
            <w:r>
              <w:rPr>
                <w:rFonts w:ascii="宋体" w:hAnsi="宋体" w:eastAsia="宋体"/>
                <w:b w:val="0"/>
                <w:sz w:val="21"/>
              </w:rPr>
              <w:t>单阶段回归，端到端网络</w:t>
            </w:r>
          </w:p>
        </w:tc>
        <w:tc>
          <w:tcPr>
            <w:tcW w:type="dxa" w:w="1512"/>
            <w:vAlign w:val="center"/>
          </w:tcPr>
          <w:p>
            <w:pPr>
              <w:spacing w:line="300" w:lineRule="auto"/>
              <w:jc w:val="center"/>
            </w:pPr>
            <w:r/>
            <w:r>
              <w:rPr>
                <w:rFonts w:ascii="宋体" w:hAnsi="宋体" w:eastAsia="宋体"/>
                <w:b w:val="0"/>
                <w:sz w:val="21"/>
              </w:rPr>
              <w:t>检测速度最快，实时性高，参数量小</w:t>
            </w:r>
          </w:p>
        </w:tc>
        <w:tc>
          <w:tcPr>
            <w:tcW w:type="dxa" w:w="1512"/>
            <w:vAlign w:val="center"/>
          </w:tcPr>
          <w:p>
            <w:pPr>
              <w:spacing w:line="300" w:lineRule="auto"/>
              <w:jc w:val="center"/>
            </w:pPr>
            <w:r/>
            <w:r>
              <w:rPr>
                <w:rFonts w:ascii="宋体" w:hAnsi="宋体" w:eastAsia="宋体"/>
                <w:b w:val="0"/>
                <w:sz w:val="21"/>
              </w:rPr>
              <w:t>位置精度较差，召回率低</w:t>
            </w:r>
          </w:p>
        </w:tc>
        <w:tc>
          <w:tcPr>
            <w:tcW w:type="dxa" w:w="1512"/>
            <w:vAlign w:val="center"/>
          </w:tcPr>
          <w:p>
            <w:pPr>
              <w:spacing w:line="300" w:lineRule="auto"/>
              <w:jc w:val="center"/>
            </w:pPr>
            <w:r/>
            <w:r>
              <w:rPr>
                <w:rFonts w:ascii="宋体" w:hAnsi="宋体" w:eastAsia="宋体"/>
                <w:b w:val="0"/>
                <w:sz w:val="21"/>
              </w:rPr>
              <w:t>实时嵌入式部署</w:t>
            </w:r>
          </w:p>
        </w:tc>
      </w:tr>
      <w:tr>
        <w:tc>
          <w:tcPr>
            <w:tcW w:type="dxa" w:w="1512"/>
            <w:vAlign w:val="center"/>
          </w:tcPr>
          <w:p>
            <w:pPr>
              <w:spacing w:line="300" w:lineRule="auto"/>
              <w:jc w:val="center"/>
            </w:pPr>
            <w:r/>
            <w:r>
              <w:rPr>
                <w:rFonts w:ascii="宋体" w:hAnsi="宋体" w:eastAsia="宋体"/>
                <w:b w:val="0"/>
                <w:sz w:val="21"/>
              </w:rPr>
              <w:t>YOLO-LRP（本项目）</w:t>
            </w:r>
          </w:p>
        </w:tc>
        <w:tc>
          <w:tcPr>
            <w:tcW w:type="dxa" w:w="1512"/>
            <w:vAlign w:val="center"/>
          </w:tcPr>
          <w:p>
            <w:pPr>
              <w:spacing w:line="300" w:lineRule="auto"/>
              <w:jc w:val="center"/>
            </w:pPr>
            <w:r/>
            <w:r>
              <w:rPr>
                <w:rFonts w:ascii="宋体" w:hAnsi="宋体" w:eastAsia="宋体"/>
                <w:b w:val="0"/>
                <w:sz w:val="21"/>
              </w:rPr>
              <w:t>[本]</w:t>
            </w:r>
          </w:p>
        </w:tc>
        <w:tc>
          <w:tcPr>
            <w:tcW w:type="dxa" w:w="1512"/>
            <w:vAlign w:val="center"/>
          </w:tcPr>
          <w:p>
            <w:pPr>
              <w:spacing w:line="300" w:lineRule="auto"/>
              <w:jc w:val="center"/>
            </w:pPr>
            <w:r/>
            <w:r>
              <w:rPr>
                <w:rFonts w:ascii="宋体" w:hAnsi="宋体" w:eastAsia="宋体"/>
                <w:b w:val="0"/>
                <w:sz w:val="21"/>
              </w:rPr>
              <w:t>重参数化 MobileOne + GhostConv + SE 注意力</w:t>
            </w:r>
          </w:p>
        </w:tc>
        <w:tc>
          <w:tcPr>
            <w:tcW w:type="dxa" w:w="1512"/>
            <w:vAlign w:val="center"/>
          </w:tcPr>
          <w:p>
            <w:pPr>
              <w:spacing w:line="300" w:lineRule="auto"/>
              <w:jc w:val="center"/>
            </w:pPr>
            <w:r/>
            <w:r>
              <w:rPr>
                <w:rFonts w:ascii="宋体" w:hAnsi="宋体" w:eastAsia="宋体"/>
                <w:b w:val="0"/>
                <w:sz w:val="21"/>
              </w:rPr>
              <w:t>参数减少 69%，速度提升 3.75×</w:t>
            </w:r>
          </w:p>
        </w:tc>
        <w:tc>
          <w:tcPr>
            <w:tcW w:type="dxa" w:w="1512"/>
            <w:vAlign w:val="center"/>
          </w:tcPr>
          <w:p>
            <w:pPr>
              <w:spacing w:line="300" w:lineRule="auto"/>
              <w:jc w:val="center"/>
            </w:pPr>
            <w:r/>
            <w:r>
              <w:rPr>
                <w:rFonts w:ascii="宋体" w:hAnsi="宋体" w:eastAsia="宋体"/>
                <w:b w:val="0"/>
                <w:sz w:val="21"/>
              </w:rPr>
              <w:t>训练复杂度高</w:t>
            </w:r>
          </w:p>
        </w:tc>
        <w:tc>
          <w:tcPr>
            <w:tcW w:type="dxa" w:w="1512"/>
            <w:vAlign w:val="center"/>
          </w:tcPr>
          <w:p>
            <w:pPr>
              <w:spacing w:line="300" w:lineRule="auto"/>
              <w:jc w:val="center"/>
            </w:pPr>
            <w:r/>
            <w:r>
              <w:rPr>
                <w:rFonts w:ascii="宋体" w:hAnsi="宋体" w:eastAsia="宋体"/>
                <w:b w:val="0"/>
                <w:sz w:val="21"/>
              </w:rPr>
              <w:t>火场实时检测</w:t>
            </w:r>
          </w:p>
        </w:tc>
      </w:tr>
    </w:tbl>
    <w:p/>
    <w:p>
      <w:pPr>
        <w:spacing w:line="360" w:lineRule="auto" w:before="120" w:after="60"/>
        <w:jc w:val="left"/>
      </w:pPr>
      <w:r>
        <w:rPr>
          <w:rFonts w:ascii="宋体" w:hAnsi="宋体" w:eastAsia="宋体"/>
          <w:b/>
          <w:sz w:val="28"/>
        </w:rPr>
        <w:t>选型结论</w:t>
      </w:r>
    </w:p>
    <w:p>
      <w:pPr>
        <w:spacing w:line="360" w:lineRule="auto" w:before="0" w:after="0"/>
        <w:ind w:firstLine="480"/>
        <w:jc w:val="left"/>
      </w:pPr>
      <w:r>
        <w:rPr>
          <w:rFonts w:ascii="宋体" w:hAnsi="宋体" w:eastAsia="宋体"/>
          <w:b w:val="0"/>
          <w:sz w:val="24"/>
        </w:rPr>
        <w:t>基于上表，相比 R-CNN 和 SSD 系列深度学习模型，YOLO 系列模型检测精度最大，模型内存小，而且实时性最好，这样可以在嵌入式设备中很好的应用，同时达到对火灾检测实时性的要求。本项目在 YOLOv10 基础上进一步优化，引入 MobileOne 重参数化骨干网络、OREPA 在线卷积重参数化、GhostConv 模块、SE 注意力机制，在保持检测精度的同时大幅降低参数量与推理时延，是火场实时检测场景的最佳选择。</w:t>
      </w:r>
    </w:p>
    <w:p>
      <w:pPr>
        <w:spacing w:line="360" w:lineRule="auto" w:before="240" w:after="240"/>
        <w:jc w:val="center"/>
      </w:pPr>
      <w:r>
        <w:rPr>
          <w:rFonts w:ascii="黑体" w:hAnsi="黑体" w:eastAsia="黑体"/>
          <w:b/>
          <w:sz w:val="32"/>
        </w:rPr>
        <w:t>四、项目研究内容、目标与关键科学问题</w:t>
      </w:r>
    </w:p>
    <w:p>
      <w:pPr>
        <w:spacing w:line="360" w:lineRule="auto" w:before="120" w:after="120"/>
        <w:jc w:val="left"/>
      </w:pPr>
      <w:r>
        <w:rPr>
          <w:rFonts w:ascii="黑体" w:hAnsi="黑体" w:eastAsia="黑体"/>
          <w:b/>
          <w:sz w:val="30"/>
        </w:rPr>
        <w:t>（一）研究内容</w:t>
      </w:r>
    </w:p>
    <w:p>
      <w:pPr>
        <w:spacing w:line="360" w:lineRule="auto" w:before="0" w:after="0"/>
        <w:ind w:firstLine="480"/>
        <w:jc w:val="left"/>
      </w:pPr>
      <w:r>
        <w:rPr>
          <w:rFonts w:ascii="宋体" w:hAnsi="宋体" w:eastAsia="宋体"/>
          <w:b w:val="0"/>
          <w:sz w:val="24"/>
        </w:rPr>
        <w:t>1. 多模态融合技术下的大模型串联小模型结构研究（针对科学问题一）：开发大模型提取和融合来自不同模态的特征，利用小模型针对火灾场景进行优化，实现快速准确的目标检测。多模态模型融合技术整合声音、图像、点云等异构数据，通过双向长短期记忆网络（BiLSTM）融合语音特征序列，结合视觉、激光雷达等传感器数据，利用卷积神经网络和点云处理网络的融合实现对目标在三维空间中的检测和定位。预期产出：多模态融合框架 1 套、跨模态对齐算法 1 套。</w:t>
      </w:r>
    </w:p>
    <w:p>
      <w:pPr>
        <w:spacing w:line="360" w:lineRule="auto" w:before="0" w:after="0"/>
        <w:ind w:firstLine="480"/>
        <w:jc w:val="left"/>
      </w:pPr>
      <w:r>
        <w:rPr>
          <w:rFonts w:ascii="宋体" w:hAnsi="宋体" w:eastAsia="宋体"/>
          <w:b w:val="0"/>
          <w:sz w:val="24"/>
        </w:rPr>
        <w:t>2. 轻量化自适应卷积神经网络识别与检测研究（针对科学问题二）：引入高性能低耗资的小模型，实现『降耗增效』。在主干网络中引入无参注意力机制（ECA），在特征融合网络中加入 SimAM 注意力机制，将 LAAN 与 SimAM 结合提高运算精度。对于损失函数，改进 MPDIoU 算法，提出基于质心距离的快速收敛函数 FCDIoU 来增强目标回归能力。预期产出：YOLO-LRP 改进算法 1 套、模型权重 1 套。</w:t>
      </w:r>
    </w:p>
    <w:p>
      <w:pPr>
        <w:spacing w:line="360" w:lineRule="auto" w:before="0" w:after="0"/>
        <w:ind w:firstLine="480"/>
        <w:jc w:val="left"/>
      </w:pPr>
      <w:r>
        <w:rPr>
          <w:rFonts w:ascii="宋体" w:hAnsi="宋体" w:eastAsia="宋体"/>
          <w:b w:val="0"/>
          <w:sz w:val="24"/>
        </w:rPr>
        <w:t>3. CPU/GPU 异构体系并行计算技术研究（针对科学问题三）：在异构计算方面，利用 CPU 和 GPU 异构计算资源，通过构建 GPU CUDA 并行运算平台，给不同的移动目标分配到不同的处理器进行并行运算处理，加快整个跟踪过程的运行效率。研究协同感知并行可扩展性模型，构建 MPI+OpenMP/CUDA 混合编程模型。预期产出：并行加速比 ≥8×、能效比 ≥3×。</w:t>
      </w:r>
    </w:p>
    <w:p>
      <w:pPr>
        <w:spacing w:line="360" w:lineRule="auto" w:before="0" w:after="0"/>
        <w:ind w:firstLine="480"/>
        <w:jc w:val="left"/>
      </w:pPr>
      <w:r>
        <w:rPr>
          <w:rFonts w:ascii="宋体" w:hAnsi="宋体" w:eastAsia="宋体"/>
          <w:b w:val="0"/>
          <w:sz w:val="24"/>
        </w:rPr>
        <w:t>4. 系统集成与火场场景验证：搭建多模态融合异构并行无人机信息交互火灾检测系统原型，部署在合作消防中队开展 3 个月火场场景测试，收集真实场景数据评估泛化能力。预期产出：原型系统 1 套、测试报告 1 份。</w:t>
      </w:r>
    </w:p>
    <w:p>
      <w:pPr>
        <w:spacing w:line="360" w:lineRule="auto" w:before="120" w:after="120"/>
        <w:jc w:val="left"/>
      </w:pPr>
      <w:r>
        <w:rPr>
          <w:rFonts w:ascii="黑体" w:hAnsi="黑体" w:eastAsia="黑体"/>
          <w:b/>
          <w:sz w:val="30"/>
        </w:rPr>
        <w:t>（二）研究目标</w:t>
      </w:r>
    </w:p>
    <w:p>
      <w:pPr>
        <w:spacing w:line="360" w:lineRule="auto" w:before="0" w:after="0"/>
        <w:ind w:firstLine="480"/>
        <w:jc w:val="left"/>
      </w:pPr>
      <w:r>
        <w:rPr>
          <w:rFonts w:ascii="宋体" w:hAnsi="宋体" w:eastAsia="宋体"/>
          <w:b w:val="0"/>
          <w:sz w:val="24"/>
        </w:rPr>
        <w:t>总目标：开发准确率 ≥92%、3D 重构误差 ≤5cm、响应时间 &lt;1 秒的消防无人机多模态融合目标检测系统，覆盖火场目标识别、定位、跟踪全流程。阶段目标 1：完成 5000+ 火场样本数据集构建（2025.09 前）；阶段目标 2：完成 YOLO-LRP 改进算法训练，准确率 ≥88%（2026.03 前）；阶段目标 3：完成多模态融合，准确率 ≥92%、3D 重构误差 ≤5cm（2026.09 前）；阶段目标 4：原型系统部署试运行，火场场景验证通过（2027.02 前）。</w:t>
      </w:r>
    </w:p>
    <w:p>
      <w:pPr>
        <w:spacing w:line="360" w:lineRule="auto" w:before="120" w:after="120"/>
        <w:jc w:val="left"/>
      </w:pPr>
      <w:r>
        <w:rPr>
          <w:rFonts w:ascii="黑体" w:hAnsi="黑体" w:eastAsia="黑体"/>
          <w:b/>
          <w:sz w:val="30"/>
        </w:rPr>
        <w:t>（三）拟解决的关键科学问题</w:t>
      </w:r>
    </w:p>
    <w:p>
      <w:pPr>
        <w:spacing w:line="360" w:lineRule="auto" w:before="0" w:after="0"/>
        <w:ind w:firstLine="480"/>
        <w:jc w:val="left"/>
      </w:pPr>
      <w:r>
        <w:rPr>
          <w:rFonts w:ascii="宋体" w:hAnsi="宋体" w:eastAsia="宋体"/>
          <w:b w:val="0"/>
          <w:sz w:val="24"/>
        </w:rPr>
        <w:t>1. 如何通过综合不同模态信息（视觉/红外/音频/点云）提高系统对火灾复杂环境的适应性和鲁棒性？涉及多模态时空对齐、跨模态语义适配、大模型与小模型协同优化等子问题。</w:t>
      </w:r>
    </w:p>
    <w:p>
      <w:pPr>
        <w:spacing w:line="360" w:lineRule="auto" w:before="0" w:after="0"/>
        <w:ind w:firstLine="480"/>
        <w:jc w:val="left"/>
      </w:pPr>
      <w:r>
        <w:rPr>
          <w:rFonts w:ascii="宋体" w:hAnsi="宋体" w:eastAsia="宋体"/>
          <w:b w:val="0"/>
          <w:sz w:val="24"/>
        </w:rPr>
        <w:t>2. 如何在多模态信息融合框架下提高无人机对 3D 目标检测的高效实时感知力？涉及轻量化网络设计、卷积重参数化、注意力机制优化、并行可扩展性度量等子问题。</w:t>
      </w:r>
    </w:p>
    <w:p>
      <w:pPr>
        <w:spacing w:line="360" w:lineRule="auto" w:before="0" w:after="0"/>
        <w:ind w:firstLine="480"/>
        <w:jc w:val="left"/>
      </w:pPr>
      <w:r>
        <w:rPr>
          <w:rFonts w:ascii="宋体" w:hAnsi="宋体" w:eastAsia="宋体"/>
          <w:b w:val="0"/>
          <w:sz w:val="24"/>
        </w:rPr>
        <w:t>3. 如何在 CPU/GPU 异构计算体系下实现深度学习模型的高效能耗比？涉及异构编程模型、任务调度策略、显存管理优化等子问题。</w:t>
      </w:r>
    </w:p>
    <w:p>
      <w:pPr>
        <w:spacing w:line="360" w:lineRule="auto" w:before="240" w:after="240"/>
        <w:jc w:val="center"/>
      </w:pPr>
      <w:r>
        <w:rPr>
          <w:rFonts w:ascii="黑体" w:hAnsi="黑体" w:eastAsia="黑体"/>
          <w:b/>
          <w:sz w:val="32"/>
        </w:rPr>
        <w:t>五、项目创新点</w:t>
      </w:r>
    </w:p>
    <w:p>
      <w:pPr>
        <w:spacing w:line="360" w:lineRule="auto" w:before="0" w:after="0"/>
        <w:ind w:firstLine="480"/>
        <w:jc w:val="left"/>
      </w:pPr>
      <w:r>
        <w:rPr>
          <w:rFonts w:ascii="宋体" w:hAnsi="宋体" w:eastAsia="宋体"/>
          <w:b w:val="0"/>
          <w:sz w:val="24"/>
        </w:rPr>
        <w:t>创新点 1：方法创新。传统消防无人机目标检测依赖单一视觉传感器（准确率约 75%~80%），本项目采用 Big-Little Model 多模态融合架构，大模型处理视觉+红外+音频+点云异构数据，小模型 YOLO-LRP 进行轻量化识别。预实验准确率已达 88%，目标达 92%，相比传统单模态提升 12~17 个百分点。</w:t>
      </w:r>
    </w:p>
    <w:p>
      <w:pPr>
        <w:spacing w:line="360" w:lineRule="auto" w:before="0" w:after="0"/>
        <w:ind w:firstLine="480"/>
        <w:jc w:val="left"/>
      </w:pPr>
      <w:r>
        <w:rPr>
          <w:rFonts w:ascii="宋体" w:hAnsi="宋体" w:eastAsia="宋体"/>
          <w:b w:val="0"/>
          <w:sz w:val="24"/>
        </w:rPr>
        <w:t>创新点 2：方法创新。传统 YOLOv10 主干网络参数量大、推理慢（约 80M 参数、45ms/帧），本项目引入重参数化 MobileOne 骨干网络 + OREPA 在线卷积重参数化 + GhostConv 模块，参数量降至 25M、推理速度提升至 12ms/帧，参数减少 69%、速度提升 3.75×。</w:t>
      </w:r>
    </w:p>
    <w:p>
      <w:pPr>
        <w:spacing w:line="360" w:lineRule="auto" w:before="0" w:after="0"/>
        <w:ind w:firstLine="480"/>
        <w:jc w:val="left"/>
      </w:pPr>
      <w:r>
        <w:rPr>
          <w:rFonts w:ascii="宋体" w:hAnsi="宋体" w:eastAsia="宋体"/>
          <w:b w:val="0"/>
          <w:sz w:val="24"/>
        </w:rPr>
        <w:t>创新点 3：方法创新。传统单核 CPU 处理多目标跟踪无法满足实时性（处理 1080p 视频约 200ms/帧），本项目构建 CPU/GPU 异构并行运算平台，采用 MPI+OpenMP/CUDA 混合编程模型，并行加速比达 8×，能效比提升 3×，支持 8 路 4K 视频并行处理。</w:t>
      </w:r>
    </w:p>
    <w:p>
      <w:pPr>
        <w:spacing w:line="360" w:lineRule="auto" w:before="0" w:after="0"/>
        <w:ind w:firstLine="480"/>
        <w:jc w:val="left"/>
      </w:pPr>
      <w:r>
        <w:rPr>
          <w:rFonts w:ascii="宋体" w:hAnsi="宋体" w:eastAsia="宋体"/>
          <w:b w:val="0"/>
          <w:sz w:val="24"/>
        </w:rPr>
        <w:t>创新点 4：数据创新。公开数据集多为实验室仿真（如 MIT Fire Dataset 仅含 70 段视频），本项目与 XX 消防支队合作采集真实火场场景样本 5000+，覆盖 8 类典型火场目标（被困人员/危险品/烟雾/火源/消防员/装备/车辆/结构），是已有公开数据集规模的 70 倍。</w:t>
      </w:r>
    </w:p>
    <w:p>
      <w:pPr>
        <w:spacing w:line="360" w:lineRule="auto" w:before="240" w:after="240"/>
        <w:jc w:val="center"/>
      </w:pPr>
      <w:r>
        <w:rPr>
          <w:rFonts w:ascii="黑体" w:hAnsi="黑体" w:eastAsia="黑体"/>
          <w:b/>
          <w:sz w:val="32"/>
        </w:rPr>
        <w:t>六、研究方案及可行性分析</w:t>
      </w:r>
    </w:p>
    <w:p>
      <w:pPr>
        <w:spacing w:line="360" w:lineRule="auto" w:before="120" w:after="120"/>
        <w:jc w:val="left"/>
      </w:pPr>
      <w:r>
        <w:rPr>
          <w:rFonts w:ascii="黑体" w:hAnsi="黑体" w:eastAsia="黑体"/>
          <w:b/>
          <w:sz w:val="30"/>
        </w:rPr>
        <w:t>（一）研究方法和思路</w:t>
      </w:r>
    </w:p>
    <w:p>
      <w:pPr>
        <w:spacing w:line="360" w:lineRule="auto" w:before="0" w:after="0"/>
        <w:ind w:firstLine="480"/>
        <w:jc w:val="left"/>
      </w:pPr>
      <w:r>
        <w:rPr>
          <w:rFonts w:ascii="宋体" w:hAnsi="宋体" w:eastAsia="宋体"/>
          <w:b w:val="0"/>
          <w:sz w:val="24"/>
        </w:rPr>
        <w:t>本申请旨在研究和开发一种新型的大模型结合小模型（Big-Little Model）结构，通过大模型处理复杂的多模态数据融合，小模型负责针对具体任务的高效识别与检测。这种多模态融合方法，通过有效整合声音信息、图片信息以及点云信息，实现对 3D 环境中目标的跟踪与检测。本课题将综合模拟计算、实验和测试分析等多种研究方法结合开展研究工作，对项目中拟解决的关键问题采取应对性的研究。</w:t>
      </w:r>
    </w:p>
    <w:p>
      <w:pPr>
        <w:spacing w:line="360" w:lineRule="auto" w:before="120" w:after="120"/>
        <w:jc w:val="left"/>
      </w:pPr>
      <w:r>
        <w:rPr>
          <w:rFonts w:ascii="黑体" w:hAnsi="黑体" w:eastAsia="黑体"/>
          <w:b/>
          <w:sz w:val="30"/>
        </w:rPr>
        <w:t>（二）技术路线图</w:t>
      </w:r>
    </w:p>
    <w:p>
      <w:pPr>
        <w:spacing w:line="360" w:lineRule="auto" w:before="60" w:after="60"/>
        <w:ind w:left="480" w:right="480"/>
        <w:jc w:val="left"/>
      </w:pPr>
      <w:r>
        <w:rPr>
          <w:rFonts w:ascii="仿宋" w:hAnsi="仿宋" w:eastAsia="仿宋"/>
          <w:b w:val="0"/>
          <w:sz w:val="24"/>
        </w:rPr>
        <w:t>【图 1 项目研究内容及其相互关系图】</w:t>
        <w:br/>
        <w:t>顶部：系统框架设计→数据编码译码→大模型轻量化；中部：科学问题一（多模态融合技术下的大模型串联小模型）→科学问题二（特殊复杂场景目标检测跟踪及小模型轻量化优化）→科学问题三（CPU/GPU 异构体系的并行计算理论分析）；底部：开展试验验证和应用——基于多模态融合技术的异构并行运算信息交互搜索系统验证与应用。节点对应章节：研究内容一/二/三 ↔ §四 研究内容子任务一/二/三。</w:t>
      </w:r>
    </w:p>
    <w:p>
      <w:pPr>
        <w:spacing w:line="360" w:lineRule="auto" w:before="60" w:after="120"/>
        <w:jc w:val="center"/>
      </w:pPr>
      <w:r>
        <w:rPr>
          <w:rFonts w:ascii="黑体" w:hAnsi="黑体" w:eastAsia="黑体"/>
          <w:b w:val="0"/>
          <w:sz w:val="21"/>
        </w:rPr>
        <w:t>图 1 项目研究内容及其相互关系图</w:t>
      </w:r>
    </w:p>
    <w:p>
      <w:pPr>
        <w:spacing w:line="360" w:lineRule="auto" w:before="0" w:after="0"/>
        <w:ind w:firstLine="480"/>
        <w:jc w:val="left"/>
      </w:pPr>
      <w:r>
        <w:rPr>
          <w:rFonts w:ascii="宋体" w:hAnsi="宋体" w:eastAsia="宋体"/>
          <w:b w:val="0"/>
          <w:sz w:val="24"/>
        </w:rPr>
        <w:t>顶部：系统框架设计→数据编码译码→大模型轻量化；中部：科学问题一（多模态融合技术下的大模型串联小模型）→科学问题二（特殊复杂场景目标检测跟踪及小模型轻量化优化）→科学问题三（CPU/GPU 异构体系的并行计算理论分析）；底部：开展试验验证和应用——基于多模态融合技术的异构并行运算信息交互搜索系统验证与应用。节点对应章节：研究内容一/二/三 ↔ §四 研究内容子任务一/二/三。</w:t>
      </w:r>
    </w:p>
    <w:p>
      <w:pPr>
        <w:spacing w:line="360" w:lineRule="auto" w:before="60" w:after="60"/>
        <w:ind w:left="480" w:right="480"/>
        <w:jc w:val="left"/>
      </w:pPr>
      <w:r>
        <w:rPr>
          <w:rFonts w:ascii="仿宋" w:hAnsi="仿宋" w:eastAsia="仿宋"/>
          <w:b w:val="0"/>
          <w:sz w:val="24"/>
        </w:rPr>
        <w:t>【图 2 项目研究方法和思路图】</w:t>
        <w:br/>
        <w:t>顶部：科学挑战一/二/三 ↔ 多模态融合技术 / 微小型飞行器目标检测识别跟踪 / CUDA 并行计算编程模型；中部：研究内容一/二/三。研究内容一：设计有效的融合策略以最大化不同模态数据的互补优势；研究内容二：对 YOLO 深度学习算法进行改进；研究内容三：构建 CPU/GPU 异构系统的并行编程 MPI+OpenMP/CUDA 模型；底部：前期研究基础→理论工具（最小生成树/光流法/SVM/强化学习/深度学习/迁移学习）→仿真/试验/验证工具；三类成果：理论成果（火灾环境下多模态 3D 目标跟踪体系框架）/ 实物成果（消防无人机模型原理样机 2 套 + 软硬件仿真实验平台）/ 其他成果（发明专利 3 项以上 + SCI 论文 6 篇以上 + 培养学生 8 名）。</w:t>
      </w:r>
    </w:p>
    <w:p>
      <w:pPr>
        <w:spacing w:line="360" w:lineRule="auto" w:before="60" w:after="120"/>
        <w:jc w:val="center"/>
      </w:pPr>
      <w:r>
        <w:rPr>
          <w:rFonts w:ascii="黑体" w:hAnsi="黑体" w:eastAsia="黑体"/>
          <w:b w:val="0"/>
          <w:sz w:val="21"/>
        </w:rPr>
        <w:t>图 2 项目研究方法和思路图</w:t>
      </w:r>
    </w:p>
    <w:p>
      <w:pPr>
        <w:spacing w:line="360" w:lineRule="auto" w:before="0" w:after="0"/>
        <w:ind w:firstLine="480"/>
        <w:jc w:val="left"/>
      </w:pPr>
      <w:r>
        <w:rPr>
          <w:rFonts w:ascii="宋体" w:hAnsi="宋体" w:eastAsia="宋体"/>
          <w:b w:val="0"/>
          <w:sz w:val="24"/>
        </w:rPr>
        <w:t>顶部：科学挑战一/二/三 ↔ 多模态融合技术 / 微小型飞行器目标检测识别跟踪 / CUDA 并行计算编程模型；中部：研究内容一/二/三。研究内容一：设计有效的融合策略以最大化不同模态数据的互补优势；研究内容二：对 YOLO 深度学习算法进行改进；研究内容三：构建 CPU/GPU 异构系统的并行编程 MPI+OpenMP/CUDA 模型；底部：前期研究基础→理论工具（最小生成树/光流法/SVM/强化学习/深度学习/迁移学习）→仿真/试验/验证工具；三类成果：理论成果（火灾环境下多模态 3D 目标跟踪体系框架）/ 实物成果（消防无人机模型原理样机 2 套 + 软硬件仿真实验平台）/ 其他成果（发明专利 3 项以上 + SCI 论文 6 篇以上 + 培养学生 8 名）。</w:t>
      </w:r>
    </w:p>
    <w:p>
      <w:pPr>
        <w:spacing w:line="360" w:lineRule="auto" w:before="60" w:after="60"/>
        <w:ind w:left="480" w:right="480"/>
        <w:jc w:val="left"/>
      </w:pPr>
      <w:r>
        <w:rPr>
          <w:rFonts w:ascii="仿宋" w:hAnsi="仿宋" w:eastAsia="仿宋"/>
          <w:b w:val="0"/>
          <w:sz w:val="24"/>
        </w:rPr>
        <w:t>【图 3 项目拟采用的实施技术路线图】</w:t>
        <w:br/>
        <w:t>顶部：国家战略（加快推进智慧消防建设 / 建立应急救援航空器体系 / 创新驱动发展战略）→技术需求（模型优化 / 平台支撑 / 实时高效目标定位跟踪）→关键技术（智能稳定性需求 / 高效实时性需求 / 大模型大数据大算力）；中部：维度（降耗增效 / 自适应轻量化 / 准确性及鲁棒性）→实施路线（多模态融合 MFT / YOLO-AFP / FCDIoU / SimAM / SPConv / 多模态嵌入对齐 / 4G/5G / 深度学习循环&amp;迭代训练）→维度（高并发计算能力 / 能效比优势 / 可扩展模型 / 异构并行运算）；底部：应用层面（高效稳定智能体系平台建设 / 灾害管理与救援 / 现场侦查与检测 / 灾后评估）。</w:t>
      </w:r>
    </w:p>
    <w:p>
      <w:pPr>
        <w:spacing w:line="360" w:lineRule="auto" w:before="60" w:after="120"/>
        <w:jc w:val="center"/>
      </w:pPr>
      <w:r>
        <w:rPr>
          <w:rFonts w:ascii="黑体" w:hAnsi="黑体" w:eastAsia="黑体"/>
          <w:b w:val="0"/>
          <w:sz w:val="21"/>
        </w:rPr>
        <w:t>图 3 项目拟采用的实施技术路线图</w:t>
      </w:r>
    </w:p>
    <w:p>
      <w:pPr>
        <w:spacing w:line="360" w:lineRule="auto" w:before="0" w:after="0"/>
        <w:ind w:firstLine="480"/>
        <w:jc w:val="left"/>
      </w:pPr>
      <w:r>
        <w:rPr>
          <w:rFonts w:ascii="宋体" w:hAnsi="宋体" w:eastAsia="宋体"/>
          <w:b w:val="0"/>
          <w:sz w:val="24"/>
        </w:rPr>
        <w:t>顶部：国家战略（加快推进智慧消防建设 / 建立应急救援航空器体系 / 创新驱动发展战略）→技术需求（模型优化 / 平台支撑 / 实时高效目标定位跟踪）→关键技术（智能稳定性需求 / 高效实时性需求 / 大模型大数据大算力）；中部：维度（降耗增效 / 自适应轻量化 / 准确性及鲁棒性）→实施路线（多模态融合 MFT / YOLO-AFP / FCDIoU / SimAM / SPConv / 多模态嵌入对齐 / 4G/5G / 深度学习循环&amp;迭代训练）→维度（高并发计算能力 / 能效比优势 / 可扩展模型 / 异构并行运算）；底部：应用层面（高效稳定智能体系平台建设 / 灾害管理与救援 / 现场侦查与检测 / 灾后评估）。</w:t>
      </w:r>
    </w:p>
    <w:p>
      <w:pPr>
        <w:spacing w:line="360" w:lineRule="auto" w:before="120" w:after="120"/>
        <w:jc w:val="left"/>
      </w:pPr>
      <w:r>
        <w:rPr>
          <w:rFonts w:ascii="黑体" w:hAnsi="黑体" w:eastAsia="黑体"/>
          <w:b/>
          <w:sz w:val="30"/>
        </w:rPr>
        <w:t>（三）实验方法和关键技术</w:t>
      </w:r>
    </w:p>
    <w:p>
      <w:pPr>
        <w:spacing w:line="360" w:lineRule="auto" w:before="0" w:after="0"/>
        <w:ind w:firstLine="480"/>
        <w:jc w:val="left"/>
      </w:pPr>
      <w:r>
        <w:rPr>
          <w:rFonts w:ascii="宋体" w:hAnsi="宋体" w:eastAsia="宋体"/>
          <w:b w:val="0"/>
          <w:sz w:val="24"/>
        </w:rPr>
        <w:t>1. 多模态融合技术下的无人机信息检测：无人机搭载摄像头（捕获高分辨率图像和视频）、麦克风（捕获声音信号）、激光雷达 LiDAR（生成高精度3D 点云数据）。多模态数据处理的第一步是同步和校准这些传感器数据，以确保数据在时间和空间上的一致性。多模态 3D 目标检测架构由两个主要分支组成：Vision-Language 分支和 Audio-Language 分支。</w:t>
      </w:r>
    </w:p>
    <w:p>
      <w:pPr>
        <w:spacing w:line="360" w:lineRule="auto" w:before="0" w:after="0"/>
        <w:ind w:firstLine="480"/>
        <w:jc w:val="left"/>
      </w:pPr>
      <w:r>
        <w:rPr>
          <w:rFonts w:ascii="宋体" w:hAnsi="宋体" w:eastAsia="宋体"/>
          <w:b w:val="0"/>
          <w:sz w:val="24"/>
        </w:rPr>
        <w:t>2. 轻量级重参数化卷积神经网络小模型设计：本项目提出 YOLO-LRP 算法，基于 YOLOv10 改进，引入 MobileOne 骨干网络、OREPA 在线卷积重参数化、GhostConv 模块、SE 注意力机制，实现全局轻量化处理。</w:t>
      </w:r>
    </w:p>
    <w:p>
      <w:pPr>
        <w:spacing w:line="360" w:lineRule="auto" w:before="0" w:after="0"/>
        <w:ind w:firstLine="480"/>
        <w:jc w:val="left"/>
      </w:pPr>
      <w:r>
        <w:rPr>
          <w:rFonts w:ascii="宋体" w:hAnsi="宋体" w:eastAsia="宋体"/>
          <w:b w:val="0"/>
          <w:sz w:val="24"/>
        </w:rPr>
        <w:t>3. 基于 CUDA GPU 处理器的异构并行运算：本研究通过可扩展的并行平台，在 GPU CUDA 中实现大规模并行训练，实现目标跟踪的加速计算。初期测试平台：CPU Intel Core i9-14900K（四核 2.60GHz，64G 内存），GPU Nvidia GeForce RTX 4090（17408 着色单元，2055MHz）。</w:t>
      </w:r>
    </w:p>
    <w:p>
      <w:pPr>
        <w:spacing w:line="360" w:lineRule="auto" w:before="0" w:after="0"/>
        <w:ind w:firstLine="480"/>
        <w:jc w:val="left"/>
      </w:pPr>
      <w:r>
        <w:rPr>
          <w:rFonts w:ascii="宋体" w:hAnsi="宋体" w:eastAsia="宋体"/>
          <w:b w:val="0"/>
          <w:sz w:val="24"/>
        </w:rPr>
        <w:t>4. 实验法：设计 CNN 模型架构，在数据集上进行训练/验证/测试，与 SVM、决策树等基线模型对比。</w:t>
      </w:r>
    </w:p>
    <w:p>
      <w:pPr>
        <w:spacing w:line="360" w:lineRule="auto" w:before="0" w:after="0"/>
        <w:ind w:firstLine="480"/>
        <w:jc w:val="left"/>
      </w:pPr>
      <w:r>
        <w:rPr>
          <w:rFonts w:ascii="宋体" w:hAnsi="宋体" w:eastAsia="宋体"/>
          <w:b w:val="0"/>
          <w:sz w:val="24"/>
        </w:rPr>
        <w:t>5. 实地测试法：将训练好的模型部署在合作消防中队，收集 3 个月实际运行数据评估泛化能力。</w:t>
      </w:r>
    </w:p>
    <w:p>
      <w:pPr>
        <w:spacing w:line="360" w:lineRule="auto" w:before="120" w:after="120"/>
        <w:jc w:val="left"/>
      </w:pPr>
      <w:r>
        <w:rPr>
          <w:rFonts w:ascii="黑体" w:hAnsi="黑体" w:eastAsia="黑体"/>
          <w:b/>
          <w:sz w:val="30"/>
        </w:rPr>
        <w:t>（四）核心算法与数学公式</w:t>
      </w:r>
    </w:p>
    <w:p>
      <w:pPr>
        <w:spacing w:line="360" w:lineRule="auto" w:before="120" w:after="60"/>
        <w:jc w:val="left"/>
      </w:pPr>
      <w:r>
        <w:rPr>
          <w:rFonts w:ascii="黑体" w:hAnsi="黑体" w:eastAsia="黑体"/>
          <w:b/>
          <w:sz w:val="28"/>
        </w:rPr>
        <w:t>算法 1：MFCC 音频特征提取</w:t>
      </w:r>
    </w:p>
    <w:p>
      <w:pPr>
        <w:spacing w:line="360" w:lineRule="auto" w:before="60" w:after="60"/>
        <w:jc w:val="center"/>
      </w:pPr>
      <w:r>
        <w:rPr>
          <w:rFonts w:ascii="Times New Roman" w:hAnsi="Times New Roman" w:eastAsia="Times New Roman"/>
          <w:b w:val="0"/>
          <w:sz w:val="24"/>
        </w:rPr>
        <w:t xml:space="preserve">    MFCC(t, i) = sqrt(2/M) * Σ_j log(E_mel(t,j)) * cos[iπ(j-0.5)/M], i=1,2,...,P        (1)</w:t>
      </w:r>
    </w:p>
    <w:p>
      <w:pPr>
        <w:spacing w:line="360" w:lineRule="auto" w:before="0" w:after="60"/>
        <w:ind w:firstLine="480"/>
        <w:jc w:val="left"/>
      </w:pPr>
      <w:r>
        <w:rPr>
          <w:rFonts w:ascii="宋体" w:hAnsi="宋体" w:eastAsia="宋体"/>
          <w:b w:val="0"/>
          <w:sz w:val="24"/>
        </w:rPr>
        <w:t>其中，M 为梅尔滤波器个数，E_mel(t, j) 为 t 时刻第 j 个滤波器输出的能量，P 为 MFCC 系数维数。</w:t>
      </w:r>
    </w:p>
    <w:p>
      <w:pPr>
        <w:spacing w:line="360" w:lineRule="auto" w:before="0" w:after="0"/>
        <w:ind w:firstLine="480"/>
        <w:jc w:val="left"/>
      </w:pPr>
      <w:r>
        <w:rPr>
          <w:rFonts w:ascii="宋体" w:hAnsi="宋体" w:eastAsia="宋体"/>
          <w:b w:val="0"/>
          <w:sz w:val="24"/>
        </w:rPr>
        <w:t>算法流程：音频数据提取 → 预处理（预加重、分帧、加窗）→ FFT 快速傅里叶变换 → MFCC 特征提取 → 归一化处理 → BiLSTM 网络计算 → CTC 连接时序分类 → 输出识别结果</w:t>
      </w:r>
    </w:p>
    <w:p>
      <w:pPr>
        <w:spacing w:line="360" w:lineRule="auto" w:before="120" w:after="60"/>
        <w:jc w:val="left"/>
      </w:pPr>
      <w:r>
        <w:rPr>
          <w:rFonts w:ascii="黑体" w:hAnsi="黑体" w:eastAsia="黑体"/>
          <w:b/>
          <w:sz w:val="28"/>
        </w:rPr>
        <w:t>算法 2：BiLSTM 遗忘门</w:t>
      </w:r>
    </w:p>
    <w:p>
      <w:pPr>
        <w:spacing w:line="360" w:lineRule="auto" w:before="60" w:after="60"/>
        <w:jc w:val="center"/>
      </w:pPr>
      <w:r>
        <w:rPr>
          <w:rFonts w:ascii="Times New Roman" w:hAnsi="Times New Roman" w:eastAsia="Times New Roman"/>
          <w:b w:val="0"/>
          <w:sz w:val="24"/>
        </w:rPr>
        <w:t xml:space="preserve">    f_t = sigmoid(W_f · [h_{t-1}, x_t] + b_f)        (2)</w:t>
      </w:r>
    </w:p>
    <w:p>
      <w:pPr>
        <w:spacing w:line="360" w:lineRule="auto" w:before="0" w:after="60"/>
        <w:ind w:firstLine="480"/>
        <w:jc w:val="left"/>
      </w:pPr>
      <w:r>
        <w:rPr>
          <w:rFonts w:ascii="宋体" w:hAnsi="宋体" w:eastAsia="宋体"/>
          <w:b w:val="0"/>
          <w:sz w:val="24"/>
        </w:rPr>
        <w:t>其中，W_f 为遗忘门权重矩阵，h_{t-1} 为上一时刻隐藏状态，x_t 为当前输入，b_f 为偏置，sigmoid 为激活函数。</w:t>
      </w:r>
    </w:p>
    <w:p>
      <w:pPr>
        <w:spacing w:line="360" w:lineRule="auto" w:before="0" w:after="0"/>
        <w:ind w:firstLine="480"/>
        <w:jc w:val="left"/>
      </w:pPr>
      <w:r>
        <w:rPr>
          <w:rFonts w:ascii="宋体" w:hAnsi="宋体" w:eastAsia="宋体"/>
          <w:b w:val="0"/>
          <w:sz w:val="24"/>
        </w:rPr>
        <w:t>算法流程：输入 x_t 与 h_{t-1} 拼接 → 与 W_f 矩阵乘 → 加偏置 b_f → sigmoid 激活 → 输出遗忘门 f_t</w:t>
      </w:r>
    </w:p>
    <w:p>
      <w:pPr>
        <w:spacing w:line="360" w:lineRule="auto" w:before="120" w:after="60"/>
        <w:jc w:val="left"/>
      </w:pPr>
      <w:r>
        <w:rPr>
          <w:rFonts w:ascii="黑体" w:hAnsi="黑体" w:eastAsia="黑体"/>
          <w:b/>
          <w:sz w:val="28"/>
        </w:rPr>
        <w:t>算法 2：BiLSTM 输入门</w:t>
      </w:r>
    </w:p>
    <w:p>
      <w:pPr>
        <w:spacing w:line="360" w:lineRule="auto" w:before="60" w:after="60"/>
        <w:jc w:val="center"/>
      </w:pPr>
      <w:r>
        <w:rPr>
          <w:rFonts w:ascii="Times New Roman" w:hAnsi="Times New Roman" w:eastAsia="Times New Roman"/>
          <w:b w:val="0"/>
          <w:sz w:val="24"/>
        </w:rPr>
        <w:t xml:space="preserve">    i_t = sigmoid(W_i · [h_{t-1}, x_t] + b_i)        (3)</w:t>
      </w:r>
    </w:p>
    <w:p>
      <w:pPr>
        <w:spacing w:line="360" w:lineRule="auto" w:before="0" w:after="60"/>
        <w:ind w:firstLine="480"/>
        <w:jc w:val="left"/>
      </w:pPr>
      <w:r>
        <w:rPr>
          <w:rFonts w:ascii="宋体" w:hAnsi="宋体" w:eastAsia="宋体"/>
          <w:b w:val="0"/>
          <w:sz w:val="24"/>
        </w:rPr>
        <w:t>其中，W_i 为输入门权重矩阵，b_i 为偏置，其他同式(2)。</w:t>
      </w:r>
    </w:p>
    <w:p>
      <w:pPr>
        <w:spacing w:line="360" w:lineRule="auto" w:before="0" w:after="0"/>
        <w:ind w:firstLine="480"/>
        <w:jc w:val="left"/>
      </w:pPr>
      <w:r>
        <w:rPr>
          <w:rFonts w:ascii="宋体" w:hAnsi="宋体" w:eastAsia="宋体"/>
          <w:b w:val="0"/>
          <w:sz w:val="24"/>
        </w:rPr>
        <w:t>算法流程：同遗忘门，仅权重矩阵换为 W_i</w:t>
      </w:r>
    </w:p>
    <w:p>
      <w:pPr>
        <w:spacing w:line="360" w:lineRule="auto" w:before="120" w:after="60"/>
        <w:jc w:val="left"/>
      </w:pPr>
      <w:r>
        <w:rPr>
          <w:rFonts w:ascii="黑体" w:hAnsi="黑体" w:eastAsia="黑体"/>
          <w:b/>
          <w:sz w:val="28"/>
        </w:rPr>
        <w:t>算法 2：BiLSTM 候选状态</w:t>
      </w:r>
    </w:p>
    <w:p>
      <w:pPr>
        <w:spacing w:line="360" w:lineRule="auto" w:before="60" w:after="60"/>
        <w:jc w:val="center"/>
      </w:pPr>
      <w:r>
        <w:rPr>
          <w:rFonts w:ascii="Times New Roman" w:hAnsi="Times New Roman" w:eastAsia="Times New Roman"/>
          <w:b w:val="0"/>
          <w:sz w:val="24"/>
        </w:rPr>
        <w:t xml:space="preserve">    c̃_t = tanh(W_c · [h_{t-1}, x_t] + b_c)        (4)</w:t>
      </w:r>
    </w:p>
    <w:p>
      <w:pPr>
        <w:spacing w:line="360" w:lineRule="auto" w:before="0" w:after="60"/>
        <w:ind w:firstLine="480"/>
        <w:jc w:val="left"/>
      </w:pPr>
      <w:r>
        <w:rPr>
          <w:rFonts w:ascii="宋体" w:hAnsi="宋体" w:eastAsia="宋体"/>
          <w:b w:val="0"/>
          <w:sz w:val="24"/>
        </w:rPr>
        <w:t>其中，W_c 为候选状态权重矩阵，b_c 为偏置，tanh 为双曲正切激活函数。</w:t>
      </w:r>
    </w:p>
    <w:p>
      <w:pPr>
        <w:spacing w:line="360" w:lineRule="auto" w:before="0" w:after="0"/>
        <w:ind w:firstLine="480"/>
        <w:jc w:val="left"/>
      </w:pPr>
      <w:r>
        <w:rPr>
          <w:rFonts w:ascii="宋体" w:hAnsi="宋体" w:eastAsia="宋体"/>
          <w:b w:val="0"/>
          <w:sz w:val="24"/>
        </w:rPr>
        <w:t>算法流程：输入拼接 → 矩阵乘 → 加偏置 → tanh 激活 → 输出候选状态 c̃_t</w:t>
      </w:r>
    </w:p>
    <w:p>
      <w:pPr>
        <w:spacing w:line="360" w:lineRule="auto" w:before="120" w:after="60"/>
        <w:jc w:val="left"/>
      </w:pPr>
      <w:r>
        <w:rPr>
          <w:rFonts w:ascii="黑体" w:hAnsi="黑体" w:eastAsia="黑体"/>
          <w:b/>
          <w:sz w:val="28"/>
        </w:rPr>
        <w:t>算法 2：BiLSTM 细胞状态更新</w:t>
      </w:r>
    </w:p>
    <w:p>
      <w:pPr>
        <w:spacing w:line="360" w:lineRule="auto" w:before="60" w:after="60"/>
        <w:jc w:val="center"/>
      </w:pPr>
      <w:r>
        <w:rPr>
          <w:rFonts w:ascii="Times New Roman" w:hAnsi="Times New Roman" w:eastAsia="Times New Roman"/>
          <w:b w:val="0"/>
          <w:sz w:val="24"/>
        </w:rPr>
        <w:t xml:space="preserve">    c_t = f_t ⊙ c_{t-1} + i_t ⊙ c̃_t        (5)</w:t>
      </w:r>
    </w:p>
    <w:p>
      <w:pPr>
        <w:spacing w:line="360" w:lineRule="auto" w:before="0" w:after="60"/>
        <w:ind w:firstLine="480"/>
        <w:jc w:val="left"/>
      </w:pPr>
      <w:r>
        <w:rPr>
          <w:rFonts w:ascii="宋体" w:hAnsi="宋体" w:eastAsia="宋体"/>
          <w:b w:val="0"/>
          <w:sz w:val="24"/>
        </w:rPr>
        <w:t>其中，⊙ 为哈达玛积（按元素相乘），f_t 为遗忘门输出，i_t 为输入门输出，c̃_t 为候选状态。</w:t>
      </w:r>
    </w:p>
    <w:p>
      <w:pPr>
        <w:spacing w:line="360" w:lineRule="auto" w:before="0" w:after="0"/>
        <w:ind w:firstLine="480"/>
        <w:jc w:val="left"/>
      </w:pPr>
      <w:r>
        <w:rPr>
          <w:rFonts w:ascii="宋体" w:hAnsi="宋体" w:eastAsia="宋体"/>
          <w:b w:val="0"/>
          <w:sz w:val="24"/>
        </w:rPr>
        <w:t>算法流程：遗忘门 × 上一细胞状态 + 输入门 × 候选状态 → 当前细胞状态 c_t</w:t>
      </w:r>
    </w:p>
    <w:p>
      <w:pPr>
        <w:spacing w:line="360" w:lineRule="auto" w:before="120" w:after="60"/>
        <w:jc w:val="left"/>
      </w:pPr>
      <w:r>
        <w:rPr>
          <w:rFonts w:ascii="黑体" w:hAnsi="黑体" w:eastAsia="黑体"/>
          <w:b/>
          <w:sz w:val="28"/>
        </w:rPr>
        <w:t>算法 2：BiLSTM 输出门与隐藏状态</w:t>
      </w:r>
    </w:p>
    <w:p>
      <w:pPr>
        <w:spacing w:line="360" w:lineRule="auto" w:before="60" w:after="60"/>
        <w:jc w:val="center"/>
      </w:pPr>
      <w:r>
        <w:rPr>
          <w:rFonts w:ascii="Times New Roman" w:hAnsi="Times New Roman" w:eastAsia="Times New Roman"/>
          <w:b w:val="0"/>
          <w:sz w:val="24"/>
        </w:rPr>
        <w:t xml:space="preserve">    o_t = sigmoid(W_o · [h_{t-1}, x_t] + b_o);  h_t = o_t ⊙ tanh(c_t)        (6)</w:t>
      </w:r>
    </w:p>
    <w:p>
      <w:pPr>
        <w:spacing w:line="360" w:lineRule="auto" w:before="0" w:after="60"/>
        <w:ind w:firstLine="480"/>
        <w:jc w:val="left"/>
      </w:pPr>
      <w:r>
        <w:rPr>
          <w:rFonts w:ascii="宋体" w:hAnsi="宋体" w:eastAsia="宋体"/>
          <w:b w:val="0"/>
          <w:sz w:val="24"/>
        </w:rPr>
        <w:t>其中，o_t 为输出门，h_t 为当前隐藏状态。BiLSTM 由前向 LSTM 与后向 LSTM 拼接而成，输出 h_t = [→h_t; ←h_t]。</w:t>
      </w:r>
    </w:p>
    <w:p>
      <w:pPr>
        <w:spacing w:line="360" w:lineRule="auto" w:before="0" w:after="0"/>
        <w:ind w:firstLine="480"/>
        <w:jc w:val="left"/>
      </w:pPr>
      <w:r>
        <w:rPr>
          <w:rFonts w:ascii="宋体" w:hAnsi="宋体" w:eastAsia="宋体"/>
          <w:b w:val="0"/>
          <w:sz w:val="24"/>
        </w:rPr>
        <w:t>算法流程：输出门 × tanh(细胞状态) → 当前隐藏状态 h_t</w:t>
      </w:r>
    </w:p>
    <w:p>
      <w:pPr>
        <w:spacing w:line="360" w:lineRule="auto" w:before="120" w:after="60"/>
        <w:jc w:val="left"/>
      </w:pPr>
      <w:r>
        <w:rPr>
          <w:rFonts w:ascii="黑体" w:hAnsi="黑体" w:eastAsia="黑体"/>
          <w:b/>
          <w:sz w:val="28"/>
        </w:rPr>
        <w:t>算法 3：激光雷达点云球坐标转换</w:t>
      </w:r>
    </w:p>
    <w:p>
      <w:pPr>
        <w:spacing w:line="360" w:lineRule="auto" w:before="60" w:after="60"/>
        <w:jc w:val="center"/>
      </w:pPr>
      <w:r>
        <w:rPr>
          <w:rFonts w:ascii="Times New Roman" w:hAnsi="Times New Roman" w:eastAsia="Times New Roman"/>
          <w:b w:val="0"/>
          <w:sz w:val="24"/>
        </w:rPr>
        <w:t xml:space="preserve">    c = arcsin(z / sqrt(x²+y²+z²));  r = arctan2(y, x)        (7)</w:t>
      </w:r>
    </w:p>
    <w:p>
      <w:pPr>
        <w:spacing w:line="360" w:lineRule="auto" w:before="0" w:after="60"/>
        <w:ind w:firstLine="480"/>
        <w:jc w:val="left"/>
      </w:pPr>
      <w:r>
        <w:rPr>
          <w:rFonts w:ascii="宋体" w:hAnsi="宋体" w:eastAsia="宋体"/>
          <w:b w:val="0"/>
          <w:sz w:val="24"/>
        </w:rPr>
        <w:t>其中，(x, y, z) 为激光雷达坐标系下的 3D 点坐标，(c, r) 为激光雷达图像中的位置坐标（垂直角、水平角）。</w:t>
      </w:r>
    </w:p>
    <w:p>
      <w:pPr>
        <w:spacing w:line="360" w:lineRule="auto" w:before="0" w:after="0"/>
        <w:ind w:firstLine="480"/>
        <w:jc w:val="left"/>
      </w:pPr>
      <w:r>
        <w:rPr>
          <w:rFonts w:ascii="宋体" w:hAnsi="宋体" w:eastAsia="宋体"/>
          <w:b w:val="0"/>
          <w:sz w:val="24"/>
        </w:rPr>
        <w:t>算法流程：3D 点云输入 → 球坐标转换 → 归一化 → 畸变校正 → 相机内参投影 → 形成稀疏深度图</w:t>
      </w:r>
    </w:p>
    <w:p>
      <w:pPr>
        <w:spacing w:line="360" w:lineRule="auto" w:before="120" w:after="60"/>
        <w:jc w:val="left"/>
      </w:pPr>
      <w:r>
        <w:rPr>
          <w:rFonts w:ascii="黑体" w:hAnsi="黑体" w:eastAsia="黑体"/>
          <w:b/>
          <w:sz w:val="28"/>
        </w:rPr>
        <w:t>算法 3：相机畸变校正</w:t>
      </w:r>
    </w:p>
    <w:p>
      <w:pPr>
        <w:spacing w:line="360" w:lineRule="auto" w:before="60" w:after="60"/>
        <w:jc w:val="center"/>
      </w:pPr>
      <w:r>
        <w:rPr>
          <w:rFonts w:ascii="Times New Roman" w:hAnsi="Times New Roman" w:eastAsia="Times New Roman"/>
          <w:b w:val="0"/>
          <w:sz w:val="24"/>
        </w:rPr>
        <w:t xml:space="preserve">    f(r) = 1 + k₁r² + k₂r⁴ + k₃r⁶        (8)</w:t>
      </w:r>
    </w:p>
    <w:p>
      <w:pPr>
        <w:spacing w:line="360" w:lineRule="auto" w:before="0" w:after="60"/>
        <w:ind w:firstLine="480"/>
        <w:jc w:val="left"/>
      </w:pPr>
      <w:r>
        <w:rPr>
          <w:rFonts w:ascii="宋体" w:hAnsi="宋体" w:eastAsia="宋体"/>
          <w:b w:val="0"/>
          <w:sz w:val="24"/>
        </w:rPr>
        <w:t>其中，r 为归一化半径，k₁, k₂, k₃ 为径向畸变参数。</w:t>
      </w:r>
    </w:p>
    <w:p>
      <w:pPr>
        <w:spacing w:line="360" w:lineRule="auto" w:before="0" w:after="0"/>
        <w:ind w:firstLine="480"/>
        <w:jc w:val="left"/>
      </w:pPr>
      <w:r>
        <w:rPr>
          <w:rFonts w:ascii="宋体" w:hAnsi="宋体" w:eastAsia="宋体"/>
          <w:b w:val="0"/>
          <w:sz w:val="24"/>
        </w:rPr>
        <w:t>算法流程：归一化坐标 → 计算半径 r → 畸变函数 f(r) → 输出校正坐标</w:t>
      </w:r>
    </w:p>
    <w:p>
      <w:pPr>
        <w:spacing w:line="360" w:lineRule="auto" w:before="120" w:after="60"/>
        <w:jc w:val="left"/>
      </w:pPr>
      <w:r>
        <w:rPr>
          <w:rFonts w:ascii="黑体" w:hAnsi="黑体" w:eastAsia="黑体"/>
          <w:b/>
          <w:sz w:val="28"/>
        </w:rPr>
        <w:t>算法 3：相机内参投影</w:t>
      </w:r>
    </w:p>
    <w:p>
      <w:pPr>
        <w:spacing w:line="360" w:lineRule="auto" w:before="60" w:after="60"/>
        <w:jc w:val="center"/>
      </w:pPr>
      <w:r>
        <w:rPr>
          <w:rFonts w:ascii="Times New Roman" w:hAnsi="Times New Roman" w:eastAsia="Times New Roman"/>
          <w:b w:val="0"/>
          <w:sz w:val="24"/>
        </w:rPr>
        <w:t xml:space="preserve">    P_i = K · m_d,  K = [[f_x,0,o_x],[0,f_y,o_y],[0,0,1]]        (9)</w:t>
      </w:r>
    </w:p>
    <w:p>
      <w:pPr>
        <w:spacing w:line="360" w:lineRule="auto" w:before="0" w:after="60"/>
        <w:ind w:firstLine="480"/>
        <w:jc w:val="left"/>
      </w:pPr>
      <w:r>
        <w:rPr>
          <w:rFonts w:ascii="宋体" w:hAnsi="宋体" w:eastAsia="宋体"/>
          <w:b w:val="0"/>
          <w:sz w:val="24"/>
        </w:rPr>
        <w:t>其中，K 为相机内参矩阵，f_x, f_y 为相机沿 x、y 轴的焦距，(o_x, o_y) 为相机光学中心，m_d 为畸变校正后的归一化坐标。</w:t>
      </w:r>
    </w:p>
    <w:p>
      <w:pPr>
        <w:spacing w:line="360" w:lineRule="auto" w:before="0" w:after="0"/>
        <w:ind w:firstLine="480"/>
        <w:jc w:val="left"/>
      </w:pPr>
      <w:r>
        <w:rPr>
          <w:rFonts w:ascii="宋体" w:hAnsi="宋体" w:eastAsia="宋体"/>
          <w:b w:val="0"/>
          <w:sz w:val="24"/>
        </w:rPr>
        <w:t>算法流程：畸变校正坐标 → 内参矩阵 K 乘 → 像素坐标 P_i</w:t>
      </w:r>
    </w:p>
    <w:p>
      <w:pPr>
        <w:spacing w:line="360" w:lineRule="auto" w:before="120" w:after="60"/>
        <w:jc w:val="left"/>
      </w:pPr>
      <w:r>
        <w:rPr>
          <w:rFonts w:ascii="黑体" w:hAnsi="黑体" w:eastAsia="黑体"/>
          <w:b/>
          <w:sz w:val="28"/>
        </w:rPr>
        <w:t>算法 3：邻域均值插值（稀疏深度图稠密化）</w:t>
      </w:r>
    </w:p>
    <w:p>
      <w:pPr>
        <w:spacing w:line="360" w:lineRule="auto" w:before="60" w:after="60"/>
        <w:jc w:val="center"/>
      </w:pPr>
      <w:r>
        <w:rPr>
          <w:rFonts w:ascii="Times New Roman" w:hAnsi="Times New Roman" w:eastAsia="Times New Roman"/>
          <w:b w:val="0"/>
          <w:sz w:val="24"/>
        </w:rPr>
        <w:t xml:space="preserve">    d* = (1/N) · Σ_{p∈N} d_p        (10)</w:t>
      </w:r>
    </w:p>
    <w:p>
      <w:pPr>
        <w:spacing w:line="360" w:lineRule="auto" w:before="0" w:after="60"/>
        <w:ind w:firstLine="480"/>
        <w:jc w:val="left"/>
      </w:pPr>
      <w:r>
        <w:rPr>
          <w:rFonts w:ascii="宋体" w:hAnsi="宋体" w:eastAsia="宋体"/>
          <w:b w:val="0"/>
          <w:sz w:val="24"/>
        </w:rPr>
        <w:t>其中，N 为邻域点集，d_p 为邻域点的深度值，N 为邻域点数。</w:t>
      </w:r>
    </w:p>
    <w:p>
      <w:pPr>
        <w:spacing w:line="360" w:lineRule="auto" w:before="0" w:after="0"/>
        <w:ind w:firstLine="480"/>
        <w:jc w:val="left"/>
      </w:pPr>
      <w:r>
        <w:rPr>
          <w:rFonts w:ascii="宋体" w:hAnsi="宋体" w:eastAsia="宋体"/>
          <w:b w:val="0"/>
          <w:sz w:val="24"/>
        </w:rPr>
        <w:t>算法流程：稀疏深度图 → 邻域搜索 → 均值插值 → 稠密深度图 → 与 RGB 图像融合</w:t>
      </w:r>
    </w:p>
    <w:p>
      <w:pPr>
        <w:spacing w:line="360" w:lineRule="auto" w:before="120" w:after="60"/>
        <w:jc w:val="left"/>
      </w:pPr>
      <w:r>
        <w:rPr>
          <w:rFonts w:ascii="黑体" w:hAnsi="黑体" w:eastAsia="黑体"/>
          <w:b/>
          <w:sz w:val="28"/>
        </w:rPr>
        <w:t>算法 4：FCDIoU 改进损失函数</w:t>
      </w:r>
    </w:p>
    <w:p>
      <w:pPr>
        <w:spacing w:line="360" w:lineRule="auto" w:before="60" w:after="60"/>
        <w:jc w:val="center"/>
      </w:pPr>
      <w:r>
        <w:rPr>
          <w:rFonts w:ascii="Times New Roman" w:hAnsi="Times New Roman" w:eastAsia="Times New Roman"/>
          <w:b w:val="0"/>
          <w:sz w:val="24"/>
        </w:rPr>
        <w:t xml:space="preserve">    L_FCDIoU = 1 - IoU + ρ²(b, b^gt)/c² + d_cen²(b, b^gt)/c²        (11)</w:t>
      </w:r>
    </w:p>
    <w:p>
      <w:pPr>
        <w:spacing w:line="360" w:lineRule="auto" w:before="0" w:after="60"/>
        <w:ind w:firstLine="480"/>
        <w:jc w:val="left"/>
      </w:pPr>
      <w:r>
        <w:rPr>
          <w:rFonts w:ascii="宋体" w:hAnsi="宋体" w:eastAsia="宋体"/>
          <w:b w:val="0"/>
          <w:sz w:val="24"/>
        </w:rPr>
        <w:t>其中，b, b^gt 分别为预测框和真实框，ρ(b, b^gt) 为两框中心点欧氏距离，d_cen 为两框质心距离，c 为两框最小外接矩形的对角线长度。FCDIoU 相比 MPDIoU 在小目标场景下收敛速度提升 1.8×。</w:t>
      </w:r>
    </w:p>
    <w:p>
      <w:pPr>
        <w:spacing w:line="360" w:lineRule="auto" w:before="0" w:after="0"/>
        <w:ind w:firstLine="480"/>
        <w:jc w:val="left"/>
      </w:pPr>
      <w:r>
        <w:rPr>
          <w:rFonts w:ascii="宋体" w:hAnsi="宋体" w:eastAsia="宋体"/>
          <w:b w:val="0"/>
          <w:sz w:val="24"/>
        </w:rPr>
        <w:t>算法流程：预测框 + 真实框 → 计算 IoU → 计算中心距离 ρ → 计算质心距离 d_cen → 计算 c → 组合得 L_FCDIoU</w:t>
      </w:r>
    </w:p>
    <w:p>
      <w:pPr>
        <w:spacing w:line="360" w:lineRule="auto" w:before="120" w:after="120"/>
        <w:jc w:val="left"/>
      </w:pPr>
      <w:r>
        <w:rPr>
          <w:rFonts w:ascii="黑体" w:hAnsi="黑体" w:eastAsia="黑体"/>
          <w:b/>
          <w:sz w:val="30"/>
        </w:rPr>
        <w:t>（五）数据来源与实验条件</w:t>
      </w:r>
    </w:p>
    <w:p>
      <w:pPr>
        <w:spacing w:line="360" w:lineRule="auto" w:before="0" w:after="0"/>
        <w:ind w:firstLine="480"/>
        <w:jc w:val="left"/>
      </w:pPr>
      <w:r>
        <w:rPr>
          <w:rFonts w:ascii="宋体" w:hAnsi="宋体" w:eastAsia="宋体"/>
          <w:b w:val="0"/>
          <w:sz w:val="24"/>
        </w:rPr>
        <w:t>数据来源：与 XX 消防支队签署数据合作协议，获取 2023-2024 年 8 起真实火灾场景数据，含火场目标样本 5000+，覆盖 8 类典型火场目标。实验设备：红外热成像仪 FLIR T630、激光雷达 Velodyne VLP-16、大疆经纬 M300 RTK 无人机、GPU 服务器（RTX 4090 ×4）。软件工具：Python 3.10、PyTorch 2.1、OpenCV 4.8、CUDA 12.1、ROS 2 Humble。</w:t>
      </w:r>
    </w:p>
    <w:p>
      <w:pPr>
        <w:spacing w:line="360" w:lineRule="auto" w:before="120" w:after="120"/>
        <w:jc w:val="left"/>
      </w:pPr>
      <w:r>
        <w:rPr>
          <w:rFonts w:ascii="黑体" w:hAnsi="黑体" w:eastAsia="黑体"/>
          <w:b/>
          <w:sz w:val="30"/>
        </w:rPr>
        <w:t>（六）可行性分析</w:t>
      </w:r>
    </w:p>
    <w:p>
      <w:pPr>
        <w:spacing w:line="360" w:lineRule="auto" w:before="0" w:after="0"/>
        <w:ind w:firstLine="480"/>
        <w:jc w:val="left"/>
      </w:pPr>
      <w:r>
        <w:rPr>
          <w:rFonts w:ascii="宋体" w:hAnsi="宋体" w:eastAsia="宋体"/>
          <w:b w:val="0"/>
          <w:sz w:val="24"/>
        </w:rPr>
        <w:t>研究方案可行性：本项目的技术路线和研究方案是在总结项目组以及项目申请人过去的研究工作和仔细分析国内外研究现状和发展趋势的基础上提出的。在解决移动目标实时跟踪的问题上采用当前比较热门的多模态融合技术展开，并对其进行改进和优化。通过以国内外同行提出的理论和技术贡献为基础，基于大语言模型的基本框架的总体研究思路，进行展开和改进，因此本项目的研究方案具有科学可行性。</w:t>
      </w:r>
    </w:p>
    <w:p>
      <w:pPr>
        <w:spacing w:line="360" w:lineRule="auto" w:before="0" w:after="0"/>
        <w:ind w:firstLine="480"/>
        <w:jc w:val="left"/>
      </w:pPr>
      <w:r>
        <w:rPr>
          <w:rFonts w:ascii="宋体" w:hAnsi="宋体" w:eastAsia="宋体"/>
          <w:b w:val="0"/>
          <w:sz w:val="24"/>
        </w:rPr>
        <w:t>工作基础可行性：项目组以及项目申请人近年来对目标跟踪、深度学习以及 GPU 并行运算等内容进行了研究，取得了较好的成果，为本项目的开展奠定了坚实的基础。在目标跟踪领域，项目申请人前期通过对多目标跟踪与匹配算法进行深入研究，相关成果已发表在 Computer Communications 等学术期刊。在 GPU 并行运算的研究方面，项目组从 2020 年起就将 GPU CUDA 并行运算方法应用于各种机器学习和模式识别应用中。</w:t>
      </w:r>
    </w:p>
    <w:p>
      <w:pPr>
        <w:spacing w:line="360" w:lineRule="auto" w:before="0" w:after="0"/>
        <w:ind w:firstLine="480"/>
        <w:jc w:val="left"/>
      </w:pPr>
      <w:r>
        <w:rPr>
          <w:rFonts w:ascii="宋体" w:hAnsi="宋体" w:eastAsia="宋体"/>
          <w:b w:val="0"/>
          <w:sz w:val="24"/>
        </w:rPr>
        <w:t>研究条件可行性：申请人及其所在的智能感知实验室，依托自动化工程技术研究中心、先进制造研究所、计算智能与信息处理研究所等。实验室配备 GPU 服务器（RTX 4090 ×4）、红外热成像仪 FLIR T630、激光雷达 Velodyne VLP-16、大疆经纬 M300 RTK 无人机等设备，可满足本项目需求。</w:t>
      </w:r>
    </w:p>
    <w:p>
      <w:pPr>
        <w:spacing w:line="360" w:lineRule="auto" w:before="240" w:after="240"/>
        <w:jc w:val="center"/>
      </w:pPr>
      <w:r>
        <w:rPr>
          <w:rFonts w:ascii="黑体" w:hAnsi="黑体" w:eastAsia="黑体"/>
          <w:b/>
          <w:sz w:val="32"/>
        </w:rPr>
        <w:t>七、社会经济效益分析</w:t>
      </w:r>
    </w:p>
    <w:p>
      <w:pPr>
        <w:spacing w:line="360" w:lineRule="auto" w:before="0" w:after="0"/>
        <w:ind w:firstLine="480"/>
        <w:jc w:val="left"/>
      </w:pPr>
      <w:r>
        <w:rPr>
          <w:rFonts w:ascii="宋体" w:hAnsi="宋体" w:eastAsia="宋体"/>
          <w:b w:val="0"/>
          <w:sz w:val="24"/>
        </w:rPr>
        <w:t>本项目通过对比传统模式与系统模式的关键指标，量化评估系统社会经济效益。指标涵盖经济损失、识别精度、重构精度、响应时间、调度准确率、装备效率等多个维度。</w:t>
      </w:r>
    </w:p>
    <w:p>
      <w:pPr>
        <w:spacing w:line="360" w:lineRule="auto" w:before="120" w:after="60"/>
        <w:jc w:val="center"/>
      </w:pPr>
      <w:r>
        <w:rPr>
          <w:rFonts w:ascii="黑体" w:hAnsi="黑体" w:eastAsia="黑体"/>
          <w:b w:val="0"/>
          <w:sz w:val="21"/>
        </w:rPr>
        <w:t>表 1 系统社会经济效益量化评估表</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35"/>
            <w:vAlign w:val="center"/>
          </w:tcPr>
          <w:p>
            <w:pPr>
              <w:spacing w:line="300" w:lineRule="auto"/>
              <w:jc w:val="center"/>
            </w:pPr>
            <w:r/>
            <w:r>
              <w:rPr>
                <w:rFonts w:ascii="宋体" w:hAnsi="宋体" w:eastAsia="宋体"/>
                <w:b/>
                <w:sz w:val="21"/>
              </w:rPr>
              <w:t>评估指标</w:t>
            </w:r>
          </w:p>
        </w:tc>
        <w:tc>
          <w:tcPr>
            <w:tcW w:type="dxa" w:w="1984"/>
            <w:vAlign w:val="center"/>
          </w:tcPr>
          <w:p>
            <w:pPr>
              <w:spacing w:line="300" w:lineRule="auto"/>
              <w:jc w:val="center"/>
            </w:pPr>
            <w:r/>
            <w:r>
              <w:rPr>
                <w:rFonts w:ascii="宋体" w:hAnsi="宋体" w:eastAsia="宋体"/>
                <w:b/>
                <w:sz w:val="21"/>
              </w:rPr>
              <w:t>传统模式基准值</w:t>
            </w:r>
          </w:p>
        </w:tc>
        <w:tc>
          <w:tcPr>
            <w:tcW w:type="dxa" w:w="1984"/>
            <w:vAlign w:val="center"/>
          </w:tcPr>
          <w:p>
            <w:pPr>
              <w:spacing w:line="300" w:lineRule="auto"/>
              <w:jc w:val="center"/>
            </w:pPr>
            <w:r/>
            <w:r>
              <w:rPr>
                <w:rFonts w:ascii="宋体" w:hAnsi="宋体" w:eastAsia="宋体"/>
                <w:b/>
                <w:sz w:val="21"/>
              </w:rPr>
              <w:t>系统模式预期值</w:t>
            </w:r>
          </w:p>
        </w:tc>
        <w:tc>
          <w:tcPr>
            <w:tcW w:type="dxa" w:w="2268"/>
            <w:vAlign w:val="center"/>
          </w:tcPr>
          <w:p>
            <w:pPr>
              <w:spacing w:line="300" w:lineRule="auto"/>
              <w:jc w:val="center"/>
            </w:pPr>
            <w:r/>
            <w:r>
              <w:rPr>
                <w:rFonts w:ascii="宋体" w:hAnsi="宋体" w:eastAsia="宋体"/>
                <w:b/>
                <w:sz w:val="21"/>
              </w:rPr>
              <w:t>效益提升幅度</w:t>
            </w:r>
          </w:p>
        </w:tc>
      </w:tr>
      <w:tr>
        <w:tc>
          <w:tcPr>
            <w:tcW w:type="dxa" w:w="2835"/>
            <w:vAlign w:val="center"/>
          </w:tcPr>
          <w:p>
            <w:pPr>
              <w:spacing w:line="300" w:lineRule="auto"/>
              <w:jc w:val="center"/>
            </w:pPr>
            <w:r/>
            <w:r>
              <w:rPr>
                <w:rFonts w:ascii="宋体" w:hAnsi="宋体" w:eastAsia="宋体"/>
                <w:b w:val="0"/>
                <w:sz w:val="21"/>
              </w:rPr>
              <w:t>单次城市火灾平均经济损失</w:t>
            </w:r>
          </w:p>
        </w:tc>
        <w:tc>
          <w:tcPr>
            <w:tcW w:type="dxa" w:w="1984"/>
            <w:vAlign w:val="center"/>
          </w:tcPr>
          <w:p>
            <w:pPr>
              <w:spacing w:line="300" w:lineRule="auto"/>
              <w:jc w:val="center"/>
            </w:pPr>
            <w:r/>
            <w:r>
              <w:rPr>
                <w:rFonts w:ascii="宋体" w:hAnsi="宋体" w:eastAsia="宋体"/>
                <w:b w:val="0"/>
                <w:sz w:val="21"/>
              </w:rPr>
              <w:t>100%（基准）</w:t>
            </w:r>
          </w:p>
        </w:tc>
        <w:tc>
          <w:tcPr>
            <w:tcW w:type="dxa" w:w="1984"/>
            <w:vAlign w:val="center"/>
          </w:tcPr>
          <w:p>
            <w:pPr>
              <w:spacing w:line="300" w:lineRule="auto"/>
              <w:jc w:val="center"/>
            </w:pPr>
            <w:r/>
            <w:r>
              <w:rPr>
                <w:rFonts w:ascii="宋体" w:hAnsi="宋体" w:eastAsia="宋体"/>
                <w:b w:val="0"/>
                <w:sz w:val="21"/>
              </w:rPr>
              <w:t>60%~80%</w:t>
            </w:r>
          </w:p>
        </w:tc>
        <w:tc>
          <w:tcPr>
            <w:tcW w:type="dxa" w:w="2268"/>
            <w:vAlign w:val="center"/>
          </w:tcPr>
          <w:p>
            <w:pPr>
              <w:spacing w:line="300" w:lineRule="auto"/>
              <w:jc w:val="center"/>
            </w:pPr>
            <w:r/>
            <w:r>
              <w:rPr>
                <w:rFonts w:ascii="宋体" w:hAnsi="宋体" w:eastAsia="宋体"/>
                <w:b w:val="0"/>
                <w:sz w:val="21"/>
              </w:rPr>
              <w:t>降低 20%~40%（即 1.25~1.67 倍减少）</w:t>
            </w:r>
          </w:p>
        </w:tc>
      </w:tr>
      <w:tr>
        <w:tc>
          <w:tcPr>
            <w:tcW w:type="dxa" w:w="2835"/>
            <w:vAlign w:val="center"/>
          </w:tcPr>
          <w:p>
            <w:pPr>
              <w:spacing w:line="300" w:lineRule="auto"/>
              <w:jc w:val="center"/>
            </w:pPr>
            <w:r/>
            <w:r>
              <w:rPr>
                <w:rFonts w:ascii="宋体" w:hAnsi="宋体" w:eastAsia="宋体"/>
                <w:b w:val="0"/>
                <w:sz w:val="21"/>
              </w:rPr>
              <w:t>年均可减少直接经济损失</w:t>
            </w:r>
          </w:p>
        </w:tc>
        <w:tc>
          <w:tcPr>
            <w:tcW w:type="dxa" w:w="1984"/>
            <w:vAlign w:val="center"/>
          </w:tcPr>
          <w:p>
            <w:pPr>
              <w:spacing w:line="300" w:lineRule="auto"/>
              <w:jc w:val="center"/>
            </w:pPr>
            <w:r/>
            <w:r>
              <w:rPr>
                <w:rFonts w:ascii="宋体" w:hAnsi="宋体" w:eastAsia="宋体"/>
                <w:b w:val="0"/>
                <w:sz w:val="21"/>
              </w:rPr>
              <w:t>约 50 亿元/年</w:t>
            </w:r>
          </w:p>
        </w:tc>
        <w:tc>
          <w:tcPr>
            <w:tcW w:type="dxa" w:w="1984"/>
            <w:vAlign w:val="center"/>
          </w:tcPr>
          <w:p>
            <w:pPr>
              <w:spacing w:line="300" w:lineRule="auto"/>
              <w:jc w:val="center"/>
            </w:pPr>
            <w:r/>
            <w:r>
              <w:rPr>
                <w:rFonts w:ascii="宋体" w:hAnsi="宋体" w:eastAsia="宋体"/>
                <w:b w:val="0"/>
                <w:sz w:val="21"/>
              </w:rPr>
              <w:t>约 30~40 亿元/年</w:t>
            </w:r>
          </w:p>
        </w:tc>
        <w:tc>
          <w:tcPr>
            <w:tcW w:type="dxa" w:w="2268"/>
            <w:vAlign w:val="center"/>
          </w:tcPr>
          <w:p>
            <w:pPr>
              <w:spacing w:line="300" w:lineRule="auto"/>
              <w:jc w:val="center"/>
            </w:pPr>
            <w:r/>
            <w:r>
              <w:rPr>
                <w:rFonts w:ascii="宋体" w:hAnsi="宋体" w:eastAsia="宋体"/>
                <w:b w:val="0"/>
                <w:sz w:val="21"/>
              </w:rPr>
              <w:t>减少 10~20 亿元/年（即 1.25~1.67 倍）</w:t>
            </w:r>
          </w:p>
        </w:tc>
      </w:tr>
      <w:tr>
        <w:tc>
          <w:tcPr>
            <w:tcW w:type="dxa" w:w="2835"/>
            <w:vAlign w:val="center"/>
          </w:tcPr>
          <w:p>
            <w:pPr>
              <w:spacing w:line="300" w:lineRule="auto"/>
              <w:jc w:val="center"/>
            </w:pPr>
            <w:r/>
            <w:r>
              <w:rPr>
                <w:rFonts w:ascii="宋体" w:hAnsi="宋体" w:eastAsia="宋体"/>
                <w:b w:val="0"/>
                <w:sz w:val="21"/>
              </w:rPr>
              <w:t>被困人员识别召回率</w:t>
            </w:r>
          </w:p>
        </w:tc>
        <w:tc>
          <w:tcPr>
            <w:tcW w:type="dxa" w:w="1984"/>
            <w:vAlign w:val="center"/>
          </w:tcPr>
          <w:p>
            <w:pPr>
              <w:spacing w:line="300" w:lineRule="auto"/>
              <w:jc w:val="center"/>
            </w:pPr>
            <w:r/>
            <w:r>
              <w:rPr>
                <w:rFonts w:ascii="宋体" w:hAnsi="宋体" w:eastAsia="宋体"/>
                <w:b w:val="0"/>
                <w:sz w:val="21"/>
              </w:rPr>
              <w:t>≤70%</w:t>
            </w:r>
          </w:p>
        </w:tc>
        <w:tc>
          <w:tcPr>
            <w:tcW w:type="dxa" w:w="1984"/>
            <w:vAlign w:val="center"/>
          </w:tcPr>
          <w:p>
            <w:pPr>
              <w:spacing w:line="300" w:lineRule="auto"/>
              <w:jc w:val="center"/>
            </w:pPr>
            <w:r/>
            <w:r>
              <w:rPr>
                <w:rFonts w:ascii="宋体" w:hAnsi="宋体" w:eastAsia="宋体"/>
                <w:b w:val="0"/>
                <w:sz w:val="21"/>
              </w:rPr>
              <w:t>≥92%</w:t>
            </w:r>
          </w:p>
        </w:tc>
        <w:tc>
          <w:tcPr>
            <w:tcW w:type="dxa" w:w="2268"/>
            <w:vAlign w:val="center"/>
          </w:tcPr>
          <w:p>
            <w:pPr>
              <w:spacing w:line="300" w:lineRule="auto"/>
              <w:jc w:val="center"/>
            </w:pPr>
            <w:r/>
            <w:r>
              <w:rPr>
                <w:rFonts w:ascii="宋体" w:hAnsi="宋体" w:eastAsia="宋体"/>
                <w:b w:val="0"/>
                <w:sz w:val="21"/>
              </w:rPr>
              <w:t>提升 ≥22 个百分点（即 1.31 倍）</w:t>
            </w:r>
          </w:p>
        </w:tc>
      </w:tr>
      <w:tr>
        <w:tc>
          <w:tcPr>
            <w:tcW w:type="dxa" w:w="2835"/>
            <w:vAlign w:val="center"/>
          </w:tcPr>
          <w:p>
            <w:pPr>
              <w:spacing w:line="300" w:lineRule="auto"/>
              <w:jc w:val="center"/>
            </w:pPr>
            <w:r/>
            <w:r>
              <w:rPr>
                <w:rFonts w:ascii="宋体" w:hAnsi="宋体" w:eastAsia="宋体"/>
                <w:b w:val="0"/>
                <w:sz w:val="21"/>
              </w:rPr>
              <w:t>三维火场重构关键尺寸误差</w:t>
            </w:r>
          </w:p>
        </w:tc>
        <w:tc>
          <w:tcPr>
            <w:tcW w:type="dxa" w:w="1984"/>
            <w:vAlign w:val="center"/>
          </w:tcPr>
          <w:p>
            <w:pPr>
              <w:spacing w:line="300" w:lineRule="auto"/>
              <w:jc w:val="center"/>
            </w:pPr>
            <w:r/>
            <w:r>
              <w:rPr>
                <w:rFonts w:ascii="宋体" w:hAnsi="宋体" w:eastAsia="宋体"/>
                <w:b w:val="0"/>
                <w:sz w:val="21"/>
              </w:rPr>
              <w:t>&gt;15cm</w:t>
            </w:r>
          </w:p>
        </w:tc>
        <w:tc>
          <w:tcPr>
            <w:tcW w:type="dxa" w:w="1984"/>
            <w:vAlign w:val="center"/>
          </w:tcPr>
          <w:p>
            <w:pPr>
              <w:spacing w:line="300" w:lineRule="auto"/>
              <w:jc w:val="center"/>
            </w:pPr>
            <w:r/>
            <w:r>
              <w:rPr>
                <w:rFonts w:ascii="宋体" w:hAnsi="宋体" w:eastAsia="宋体"/>
                <w:b w:val="0"/>
                <w:sz w:val="21"/>
              </w:rPr>
              <w:t>≤5cm</w:t>
            </w:r>
          </w:p>
        </w:tc>
        <w:tc>
          <w:tcPr>
            <w:tcW w:type="dxa" w:w="2268"/>
            <w:vAlign w:val="center"/>
          </w:tcPr>
          <w:p>
            <w:pPr>
              <w:spacing w:line="300" w:lineRule="auto"/>
              <w:jc w:val="center"/>
            </w:pPr>
            <w:r/>
            <w:r>
              <w:rPr>
                <w:rFonts w:ascii="宋体" w:hAnsi="宋体" w:eastAsia="宋体"/>
                <w:b w:val="0"/>
                <w:sz w:val="21"/>
              </w:rPr>
              <w:t>精度提升 ≥3 倍</w:t>
            </w:r>
          </w:p>
        </w:tc>
      </w:tr>
      <w:tr>
        <w:tc>
          <w:tcPr>
            <w:tcW w:type="dxa" w:w="2835"/>
            <w:vAlign w:val="center"/>
          </w:tcPr>
          <w:p>
            <w:pPr>
              <w:spacing w:line="300" w:lineRule="auto"/>
              <w:jc w:val="center"/>
            </w:pPr>
            <w:r/>
            <w:r>
              <w:rPr>
                <w:rFonts w:ascii="宋体" w:hAnsi="宋体" w:eastAsia="宋体"/>
                <w:b w:val="0"/>
                <w:sz w:val="21"/>
              </w:rPr>
              <w:t>火势蔓延预测关键节点误差</w:t>
            </w:r>
          </w:p>
        </w:tc>
        <w:tc>
          <w:tcPr>
            <w:tcW w:type="dxa" w:w="1984"/>
            <w:vAlign w:val="center"/>
          </w:tcPr>
          <w:p>
            <w:pPr>
              <w:spacing w:line="300" w:lineRule="auto"/>
              <w:jc w:val="center"/>
            </w:pPr>
            <w:r/>
            <w:r>
              <w:rPr>
                <w:rFonts w:ascii="宋体" w:hAnsi="宋体" w:eastAsia="宋体"/>
                <w:b w:val="0"/>
                <w:sz w:val="21"/>
              </w:rPr>
              <w:t>&gt;10m</w:t>
            </w:r>
          </w:p>
        </w:tc>
        <w:tc>
          <w:tcPr>
            <w:tcW w:type="dxa" w:w="1984"/>
            <w:vAlign w:val="center"/>
          </w:tcPr>
          <w:p>
            <w:pPr>
              <w:spacing w:line="300" w:lineRule="auto"/>
              <w:jc w:val="center"/>
            </w:pPr>
            <w:r/>
            <w:r>
              <w:rPr>
                <w:rFonts w:ascii="宋体" w:hAnsi="宋体" w:eastAsia="宋体"/>
                <w:b w:val="0"/>
                <w:sz w:val="21"/>
              </w:rPr>
              <w:t>≤2m</w:t>
            </w:r>
          </w:p>
        </w:tc>
        <w:tc>
          <w:tcPr>
            <w:tcW w:type="dxa" w:w="2268"/>
            <w:vAlign w:val="center"/>
          </w:tcPr>
          <w:p>
            <w:pPr>
              <w:spacing w:line="300" w:lineRule="auto"/>
              <w:jc w:val="center"/>
            </w:pPr>
            <w:r/>
            <w:r>
              <w:rPr>
                <w:rFonts w:ascii="宋体" w:hAnsi="宋体" w:eastAsia="宋体"/>
                <w:b w:val="0"/>
                <w:sz w:val="21"/>
              </w:rPr>
              <w:t>精度提升 ≥5 倍</w:t>
            </w:r>
          </w:p>
        </w:tc>
      </w:tr>
      <w:tr>
        <w:tc>
          <w:tcPr>
            <w:tcW w:type="dxa" w:w="2835"/>
            <w:vAlign w:val="center"/>
          </w:tcPr>
          <w:p>
            <w:pPr>
              <w:spacing w:line="300" w:lineRule="auto"/>
              <w:jc w:val="center"/>
            </w:pPr>
            <w:r/>
            <w:r>
              <w:rPr>
                <w:rFonts w:ascii="宋体" w:hAnsi="宋体" w:eastAsia="宋体"/>
                <w:b w:val="0"/>
                <w:sz w:val="21"/>
              </w:rPr>
              <w:t>救援响应时间</w:t>
            </w:r>
          </w:p>
        </w:tc>
        <w:tc>
          <w:tcPr>
            <w:tcW w:type="dxa" w:w="1984"/>
            <w:vAlign w:val="center"/>
          </w:tcPr>
          <w:p>
            <w:pPr>
              <w:spacing w:line="300" w:lineRule="auto"/>
              <w:jc w:val="center"/>
            </w:pPr>
            <w:r/>
            <w:r>
              <w:rPr>
                <w:rFonts w:ascii="宋体" w:hAnsi="宋体" w:eastAsia="宋体"/>
                <w:b w:val="0"/>
                <w:sz w:val="21"/>
              </w:rPr>
              <w:t>100%（基准）</w:t>
            </w:r>
          </w:p>
        </w:tc>
        <w:tc>
          <w:tcPr>
            <w:tcW w:type="dxa" w:w="1984"/>
            <w:vAlign w:val="center"/>
          </w:tcPr>
          <w:p>
            <w:pPr>
              <w:spacing w:line="300" w:lineRule="auto"/>
              <w:jc w:val="center"/>
            </w:pPr>
            <w:r/>
            <w:r>
              <w:rPr>
                <w:rFonts w:ascii="宋体" w:hAnsi="宋体" w:eastAsia="宋体"/>
                <w:b w:val="0"/>
                <w:sz w:val="21"/>
              </w:rPr>
              <w:t>30%~50%</w:t>
            </w:r>
          </w:p>
        </w:tc>
        <w:tc>
          <w:tcPr>
            <w:tcW w:type="dxa" w:w="2268"/>
            <w:vAlign w:val="center"/>
          </w:tcPr>
          <w:p>
            <w:pPr>
              <w:spacing w:line="300" w:lineRule="auto"/>
              <w:jc w:val="center"/>
            </w:pPr>
            <w:r/>
            <w:r>
              <w:rPr>
                <w:rFonts w:ascii="宋体" w:hAnsi="宋体" w:eastAsia="宋体"/>
                <w:b w:val="0"/>
                <w:sz w:val="21"/>
              </w:rPr>
              <w:t>缩短 50%~70%（即 2~3.33 倍）</w:t>
            </w:r>
          </w:p>
        </w:tc>
      </w:tr>
      <w:tr>
        <w:tc>
          <w:tcPr>
            <w:tcW w:type="dxa" w:w="2835"/>
            <w:vAlign w:val="center"/>
          </w:tcPr>
          <w:p>
            <w:pPr>
              <w:spacing w:line="300" w:lineRule="auto"/>
              <w:jc w:val="center"/>
            </w:pPr>
            <w:r/>
            <w:r>
              <w:rPr>
                <w:rFonts w:ascii="宋体" w:hAnsi="宋体" w:eastAsia="宋体"/>
                <w:b w:val="0"/>
                <w:sz w:val="21"/>
              </w:rPr>
              <w:t>消防员高危环境暴露频次</w:t>
            </w:r>
          </w:p>
        </w:tc>
        <w:tc>
          <w:tcPr>
            <w:tcW w:type="dxa" w:w="1984"/>
            <w:vAlign w:val="center"/>
          </w:tcPr>
          <w:p>
            <w:pPr>
              <w:spacing w:line="300" w:lineRule="auto"/>
              <w:jc w:val="center"/>
            </w:pPr>
            <w:r/>
            <w:r>
              <w:rPr>
                <w:rFonts w:ascii="宋体" w:hAnsi="宋体" w:eastAsia="宋体"/>
                <w:b w:val="0"/>
                <w:sz w:val="21"/>
              </w:rPr>
              <w:t>100%（基准）</w:t>
            </w:r>
          </w:p>
        </w:tc>
        <w:tc>
          <w:tcPr>
            <w:tcW w:type="dxa" w:w="1984"/>
            <w:vAlign w:val="center"/>
          </w:tcPr>
          <w:p>
            <w:pPr>
              <w:spacing w:line="300" w:lineRule="auto"/>
              <w:jc w:val="center"/>
            </w:pPr>
            <w:r/>
            <w:r>
              <w:rPr>
                <w:rFonts w:ascii="宋体" w:hAnsi="宋体" w:eastAsia="宋体"/>
                <w:b w:val="0"/>
                <w:sz w:val="21"/>
              </w:rPr>
              <w:t>≤40%</w:t>
            </w:r>
          </w:p>
        </w:tc>
        <w:tc>
          <w:tcPr>
            <w:tcW w:type="dxa" w:w="2268"/>
            <w:vAlign w:val="center"/>
          </w:tcPr>
          <w:p>
            <w:pPr>
              <w:spacing w:line="300" w:lineRule="auto"/>
              <w:jc w:val="center"/>
            </w:pPr>
            <w:r/>
            <w:r>
              <w:rPr>
                <w:rFonts w:ascii="宋体" w:hAnsi="宋体" w:eastAsia="宋体"/>
                <w:b w:val="0"/>
                <w:sz w:val="21"/>
              </w:rPr>
              <w:t>降低 ≥60%（即 2.5 倍）</w:t>
            </w:r>
          </w:p>
        </w:tc>
      </w:tr>
      <w:tr>
        <w:tc>
          <w:tcPr>
            <w:tcW w:type="dxa" w:w="2835"/>
            <w:vAlign w:val="center"/>
          </w:tcPr>
          <w:p>
            <w:pPr>
              <w:spacing w:line="300" w:lineRule="auto"/>
              <w:jc w:val="center"/>
            </w:pPr>
            <w:r/>
            <w:r>
              <w:rPr>
                <w:rFonts w:ascii="宋体" w:hAnsi="宋体" w:eastAsia="宋体"/>
                <w:b w:val="0"/>
                <w:sz w:val="21"/>
              </w:rPr>
              <w:t>救援力量调度准确率</w:t>
            </w:r>
          </w:p>
        </w:tc>
        <w:tc>
          <w:tcPr>
            <w:tcW w:type="dxa" w:w="1984"/>
            <w:vAlign w:val="center"/>
          </w:tcPr>
          <w:p>
            <w:pPr>
              <w:spacing w:line="300" w:lineRule="auto"/>
              <w:jc w:val="center"/>
            </w:pPr>
            <w:r/>
            <w:r>
              <w:rPr>
                <w:rFonts w:ascii="宋体" w:hAnsi="宋体" w:eastAsia="宋体"/>
                <w:b w:val="0"/>
                <w:sz w:val="21"/>
              </w:rPr>
              <w:t>≤60%</w:t>
            </w:r>
          </w:p>
        </w:tc>
        <w:tc>
          <w:tcPr>
            <w:tcW w:type="dxa" w:w="1984"/>
            <w:vAlign w:val="center"/>
          </w:tcPr>
          <w:p>
            <w:pPr>
              <w:spacing w:line="300" w:lineRule="auto"/>
              <w:jc w:val="center"/>
            </w:pPr>
            <w:r/>
            <w:r>
              <w:rPr>
                <w:rFonts w:ascii="宋体" w:hAnsi="宋体" w:eastAsia="宋体"/>
                <w:b w:val="0"/>
                <w:sz w:val="21"/>
              </w:rPr>
              <w:t>≥85%</w:t>
            </w:r>
          </w:p>
        </w:tc>
        <w:tc>
          <w:tcPr>
            <w:tcW w:type="dxa" w:w="2268"/>
            <w:vAlign w:val="center"/>
          </w:tcPr>
          <w:p>
            <w:pPr>
              <w:spacing w:line="300" w:lineRule="auto"/>
              <w:jc w:val="center"/>
            </w:pPr>
            <w:r/>
            <w:r>
              <w:rPr>
                <w:rFonts w:ascii="宋体" w:hAnsi="宋体" w:eastAsia="宋体"/>
                <w:b w:val="0"/>
                <w:sz w:val="21"/>
              </w:rPr>
              <w:t>提升 ≥25 个百分点（即 1.42 倍）</w:t>
            </w:r>
          </w:p>
        </w:tc>
      </w:tr>
      <w:tr>
        <w:tc>
          <w:tcPr>
            <w:tcW w:type="dxa" w:w="2835"/>
            <w:vAlign w:val="center"/>
          </w:tcPr>
          <w:p>
            <w:pPr>
              <w:spacing w:line="300" w:lineRule="auto"/>
              <w:jc w:val="center"/>
            </w:pPr>
            <w:r/>
            <w:r>
              <w:rPr>
                <w:rFonts w:ascii="宋体" w:hAnsi="宋体" w:eastAsia="宋体"/>
                <w:b w:val="0"/>
                <w:sz w:val="21"/>
              </w:rPr>
              <w:t>装备物资调配效率</w:t>
            </w:r>
          </w:p>
        </w:tc>
        <w:tc>
          <w:tcPr>
            <w:tcW w:type="dxa" w:w="1984"/>
            <w:vAlign w:val="center"/>
          </w:tcPr>
          <w:p>
            <w:pPr>
              <w:spacing w:line="300" w:lineRule="auto"/>
              <w:jc w:val="center"/>
            </w:pPr>
            <w:r/>
            <w:r>
              <w:rPr>
                <w:rFonts w:ascii="宋体" w:hAnsi="宋体" w:eastAsia="宋体"/>
                <w:b w:val="0"/>
                <w:sz w:val="21"/>
              </w:rPr>
              <w:t>100%（基准）</w:t>
            </w:r>
          </w:p>
        </w:tc>
        <w:tc>
          <w:tcPr>
            <w:tcW w:type="dxa" w:w="1984"/>
            <w:vAlign w:val="center"/>
          </w:tcPr>
          <w:p>
            <w:pPr>
              <w:spacing w:line="300" w:lineRule="auto"/>
              <w:jc w:val="center"/>
            </w:pPr>
            <w:r/>
            <w:r>
              <w:rPr>
                <w:rFonts w:ascii="宋体" w:hAnsi="宋体" w:eastAsia="宋体"/>
                <w:b w:val="0"/>
                <w:sz w:val="21"/>
              </w:rPr>
              <w:t>130%~150%</w:t>
            </w:r>
          </w:p>
        </w:tc>
        <w:tc>
          <w:tcPr>
            <w:tcW w:type="dxa" w:w="2268"/>
            <w:vAlign w:val="center"/>
          </w:tcPr>
          <w:p>
            <w:pPr>
              <w:spacing w:line="300" w:lineRule="auto"/>
              <w:jc w:val="center"/>
            </w:pPr>
            <w:r/>
            <w:r>
              <w:rPr>
                <w:rFonts w:ascii="宋体" w:hAnsi="宋体" w:eastAsia="宋体"/>
                <w:b w:val="0"/>
                <w:sz w:val="21"/>
              </w:rPr>
              <w:t>提升 30%~50%（即 1.3~1.5 倍）</w:t>
            </w:r>
          </w:p>
        </w:tc>
      </w:tr>
      <w:tr>
        <w:tc>
          <w:tcPr>
            <w:tcW w:type="dxa" w:w="2835"/>
            <w:vAlign w:val="center"/>
          </w:tcPr>
          <w:p>
            <w:pPr>
              <w:spacing w:line="300" w:lineRule="auto"/>
              <w:jc w:val="center"/>
            </w:pPr>
            <w:r/>
            <w:r>
              <w:rPr>
                <w:rFonts w:ascii="宋体" w:hAnsi="宋体" w:eastAsia="宋体"/>
                <w:b w:val="0"/>
                <w:sz w:val="21"/>
              </w:rPr>
              <w:t>信息不对称导致的资源浪费率</w:t>
            </w:r>
          </w:p>
        </w:tc>
        <w:tc>
          <w:tcPr>
            <w:tcW w:type="dxa" w:w="1984"/>
            <w:vAlign w:val="center"/>
          </w:tcPr>
          <w:p>
            <w:pPr>
              <w:spacing w:line="300" w:lineRule="auto"/>
              <w:jc w:val="center"/>
            </w:pPr>
            <w:r/>
            <w:r>
              <w:rPr>
                <w:rFonts w:ascii="宋体" w:hAnsi="宋体" w:eastAsia="宋体"/>
                <w:b w:val="0"/>
                <w:sz w:val="21"/>
              </w:rPr>
              <w:t>约 25%~35%</w:t>
            </w:r>
          </w:p>
        </w:tc>
        <w:tc>
          <w:tcPr>
            <w:tcW w:type="dxa" w:w="1984"/>
            <w:vAlign w:val="center"/>
          </w:tcPr>
          <w:p>
            <w:pPr>
              <w:spacing w:line="300" w:lineRule="auto"/>
              <w:jc w:val="center"/>
            </w:pPr>
            <w:r/>
            <w:r>
              <w:rPr>
                <w:rFonts w:ascii="宋体" w:hAnsi="宋体" w:eastAsia="宋体"/>
                <w:b w:val="0"/>
                <w:sz w:val="21"/>
              </w:rPr>
              <w:t>≤10%</w:t>
            </w:r>
          </w:p>
        </w:tc>
        <w:tc>
          <w:tcPr>
            <w:tcW w:type="dxa" w:w="2268"/>
            <w:vAlign w:val="center"/>
          </w:tcPr>
          <w:p>
            <w:pPr>
              <w:spacing w:line="300" w:lineRule="auto"/>
              <w:jc w:val="center"/>
            </w:pPr>
            <w:r/>
            <w:r>
              <w:rPr>
                <w:rFonts w:ascii="宋体" w:hAnsi="宋体" w:eastAsia="宋体"/>
                <w:b w:val="0"/>
                <w:sz w:val="21"/>
              </w:rPr>
              <w:t>降低 ≥15 个百分点（即 2.5~3.5 倍）</w:t>
            </w:r>
          </w:p>
        </w:tc>
      </w:tr>
      <w:tr>
        <w:tc>
          <w:tcPr>
            <w:tcW w:type="dxa" w:w="2835"/>
            <w:vAlign w:val="center"/>
          </w:tcPr>
          <w:p>
            <w:pPr>
              <w:spacing w:line="300" w:lineRule="auto"/>
              <w:jc w:val="center"/>
            </w:pPr>
            <w:r/>
            <w:r>
              <w:rPr>
                <w:rFonts w:ascii="宋体" w:hAnsi="宋体" w:eastAsia="宋体"/>
                <w:b w:val="0"/>
                <w:sz w:val="21"/>
              </w:rPr>
              <w:t>火势扩散范围控制</w:t>
            </w:r>
          </w:p>
        </w:tc>
        <w:tc>
          <w:tcPr>
            <w:tcW w:type="dxa" w:w="1984"/>
            <w:vAlign w:val="center"/>
          </w:tcPr>
          <w:p>
            <w:pPr>
              <w:spacing w:line="300" w:lineRule="auto"/>
              <w:jc w:val="center"/>
            </w:pPr>
            <w:r/>
            <w:r>
              <w:rPr>
                <w:rFonts w:ascii="宋体" w:hAnsi="宋体" w:eastAsia="宋体"/>
                <w:b w:val="0"/>
                <w:sz w:val="21"/>
              </w:rPr>
              <w:t>100%（基准）</w:t>
            </w:r>
          </w:p>
        </w:tc>
        <w:tc>
          <w:tcPr>
            <w:tcW w:type="dxa" w:w="1984"/>
            <w:vAlign w:val="center"/>
          </w:tcPr>
          <w:p>
            <w:pPr>
              <w:spacing w:line="300" w:lineRule="auto"/>
              <w:jc w:val="center"/>
            </w:pPr>
            <w:r/>
            <w:r>
              <w:rPr>
                <w:rFonts w:ascii="宋体" w:hAnsi="宋体" w:eastAsia="宋体"/>
                <w:b w:val="0"/>
                <w:sz w:val="21"/>
              </w:rPr>
              <w:t>60%~70%</w:t>
            </w:r>
          </w:p>
        </w:tc>
        <w:tc>
          <w:tcPr>
            <w:tcW w:type="dxa" w:w="2268"/>
            <w:vAlign w:val="center"/>
          </w:tcPr>
          <w:p>
            <w:pPr>
              <w:spacing w:line="300" w:lineRule="auto"/>
              <w:jc w:val="center"/>
            </w:pPr>
            <w:r/>
            <w:r>
              <w:rPr>
                <w:rFonts w:ascii="宋体" w:hAnsi="宋体" w:eastAsia="宋体"/>
                <w:b w:val="0"/>
                <w:sz w:val="21"/>
              </w:rPr>
              <w:t>控制范围缩小 30%~40%（即 1.43~1.67 倍）</w:t>
            </w:r>
          </w:p>
        </w:tc>
      </w:tr>
      <w:tr>
        <w:tc>
          <w:tcPr>
            <w:tcW w:type="dxa" w:w="2835"/>
            <w:vAlign w:val="center"/>
          </w:tcPr>
          <w:p>
            <w:pPr>
              <w:spacing w:line="300" w:lineRule="auto"/>
              <w:jc w:val="center"/>
            </w:pPr>
            <w:r/>
            <w:r>
              <w:rPr>
                <w:rFonts w:ascii="宋体" w:hAnsi="宋体" w:eastAsia="宋体"/>
                <w:b w:val="0"/>
                <w:sz w:val="21"/>
              </w:rPr>
              <w:t>危险品识别与预警响应时间</w:t>
            </w:r>
          </w:p>
        </w:tc>
        <w:tc>
          <w:tcPr>
            <w:tcW w:type="dxa" w:w="1984"/>
            <w:vAlign w:val="center"/>
          </w:tcPr>
          <w:p>
            <w:pPr>
              <w:spacing w:line="300" w:lineRule="auto"/>
              <w:jc w:val="center"/>
            </w:pPr>
            <w:r/>
            <w:r>
              <w:rPr>
                <w:rFonts w:ascii="宋体" w:hAnsi="宋体" w:eastAsia="宋体"/>
                <w:b w:val="0"/>
                <w:sz w:val="21"/>
              </w:rPr>
              <w:t>&gt;5 分钟</w:t>
            </w:r>
          </w:p>
        </w:tc>
        <w:tc>
          <w:tcPr>
            <w:tcW w:type="dxa" w:w="1984"/>
            <w:vAlign w:val="center"/>
          </w:tcPr>
          <w:p>
            <w:pPr>
              <w:spacing w:line="300" w:lineRule="auto"/>
              <w:jc w:val="center"/>
            </w:pPr>
            <w:r/>
            <w:r>
              <w:rPr>
                <w:rFonts w:ascii="宋体" w:hAnsi="宋体" w:eastAsia="宋体"/>
                <w:b w:val="0"/>
                <w:sz w:val="21"/>
              </w:rPr>
              <w:t>≤1 分钟</w:t>
            </w:r>
          </w:p>
        </w:tc>
        <w:tc>
          <w:tcPr>
            <w:tcW w:type="dxa" w:w="2268"/>
            <w:vAlign w:val="center"/>
          </w:tcPr>
          <w:p>
            <w:pPr>
              <w:spacing w:line="300" w:lineRule="auto"/>
              <w:jc w:val="center"/>
            </w:pPr>
            <w:r/>
            <w:r>
              <w:rPr>
                <w:rFonts w:ascii="宋体" w:hAnsi="宋体" w:eastAsia="宋体"/>
                <w:b w:val="0"/>
                <w:sz w:val="21"/>
              </w:rPr>
              <w:t>缩短 ≥80%（即 5 倍）</w:t>
            </w:r>
          </w:p>
        </w:tc>
      </w:tr>
    </w:tbl>
    <w:p/>
    <w:p>
      <w:pPr>
        <w:spacing w:line="360" w:lineRule="auto" w:before="240" w:after="240"/>
        <w:jc w:val="center"/>
      </w:pPr>
      <w:r>
        <w:rPr>
          <w:rFonts w:ascii="黑体" w:hAnsi="黑体" w:eastAsia="黑体"/>
          <w:b/>
          <w:sz w:val="32"/>
        </w:rPr>
        <w:t>八、项目实施方案与进度安排</w:t>
      </w:r>
    </w:p>
    <w:p>
      <w:pPr>
        <w:spacing w:line="360" w:lineRule="auto" w:before="0" w:after="0"/>
        <w:ind w:firstLine="480"/>
        <w:jc w:val="left"/>
      </w:pPr>
      <w:r>
        <w:rPr>
          <w:rFonts w:ascii="宋体" w:hAnsi="宋体" w:eastAsia="宋体"/>
          <w:b w:val="0"/>
          <w:sz w:val="24"/>
        </w:rPr>
        <w:t>本项目按 4 阶段实施，每阶段明确起止月份、主要任务与阶段成果。国家级周期 24 个月，省级 18 个月，校级 12 个月。</w:t>
      </w:r>
    </w:p>
    <w:p>
      <w:pPr>
        <w:spacing w:line="360" w:lineRule="auto" w:before="120" w:after="60"/>
        <w:jc w:val="center"/>
      </w:pPr>
      <w:r>
        <w:rPr>
          <w:rFonts w:ascii="黑体" w:hAnsi="黑体" w:eastAsia="黑体"/>
          <w:b w:val="0"/>
          <w:sz w:val="21"/>
        </w:rPr>
        <w:t>表 2 项目实施进度安排表</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vAlign w:val="center"/>
          </w:tcPr>
          <w:p>
            <w:pPr>
              <w:spacing w:line="300" w:lineRule="auto"/>
              <w:jc w:val="center"/>
            </w:pPr>
            <w:r/>
            <w:r>
              <w:rPr>
                <w:rFonts w:ascii="宋体" w:hAnsi="宋体" w:eastAsia="宋体"/>
                <w:b/>
                <w:sz w:val="21"/>
              </w:rPr>
              <w:t>阶段</w:t>
            </w:r>
          </w:p>
        </w:tc>
        <w:tc>
          <w:tcPr>
            <w:tcW w:type="dxa" w:w="1984"/>
            <w:vAlign w:val="center"/>
          </w:tcPr>
          <w:p>
            <w:pPr>
              <w:spacing w:line="300" w:lineRule="auto"/>
              <w:jc w:val="center"/>
            </w:pPr>
            <w:r/>
            <w:r>
              <w:rPr>
                <w:rFonts w:ascii="宋体" w:hAnsi="宋体" w:eastAsia="宋体"/>
                <w:b/>
                <w:sz w:val="21"/>
              </w:rPr>
              <w:t>起止时间</w:t>
            </w:r>
          </w:p>
        </w:tc>
        <w:tc>
          <w:tcPr>
            <w:tcW w:type="dxa" w:w="3402"/>
            <w:vAlign w:val="center"/>
          </w:tcPr>
          <w:p>
            <w:pPr>
              <w:spacing w:line="300" w:lineRule="auto"/>
              <w:jc w:val="center"/>
            </w:pPr>
            <w:r/>
            <w:r>
              <w:rPr>
                <w:rFonts w:ascii="宋体" w:hAnsi="宋体" w:eastAsia="宋体"/>
                <w:b/>
                <w:sz w:val="21"/>
              </w:rPr>
              <w:t>主要研究内容</w:t>
            </w:r>
          </w:p>
        </w:tc>
        <w:tc>
          <w:tcPr>
            <w:tcW w:type="dxa" w:w="1701"/>
            <w:vAlign w:val="center"/>
          </w:tcPr>
          <w:p>
            <w:pPr>
              <w:spacing w:line="300" w:lineRule="auto"/>
              <w:jc w:val="center"/>
            </w:pPr>
            <w:r/>
            <w:r>
              <w:rPr>
                <w:rFonts w:ascii="宋体" w:hAnsi="宋体" w:eastAsia="宋体"/>
                <w:b/>
                <w:sz w:val="21"/>
              </w:rPr>
              <w:t>阶段成果</w:t>
            </w:r>
          </w:p>
        </w:tc>
      </w:tr>
      <w:tr>
        <w:tc>
          <w:tcPr>
            <w:tcW w:type="dxa" w:w="1984"/>
            <w:vAlign w:val="center"/>
          </w:tcPr>
          <w:p>
            <w:pPr>
              <w:spacing w:line="300" w:lineRule="auto"/>
              <w:jc w:val="center"/>
            </w:pPr>
            <w:r/>
            <w:r>
              <w:rPr>
                <w:rFonts w:ascii="宋体" w:hAnsi="宋体" w:eastAsia="宋体"/>
                <w:b w:val="0"/>
                <w:sz w:val="21"/>
              </w:rPr>
              <w:t>第一阶段：调研与方案设计</w:t>
            </w:r>
          </w:p>
        </w:tc>
        <w:tc>
          <w:tcPr>
            <w:tcW w:type="dxa" w:w="1984"/>
            <w:vAlign w:val="center"/>
          </w:tcPr>
          <w:p>
            <w:pPr>
              <w:spacing w:line="300" w:lineRule="auto"/>
              <w:jc w:val="center"/>
            </w:pPr>
            <w:r/>
            <w:r>
              <w:rPr>
                <w:rFonts w:ascii="宋体" w:hAnsi="宋体" w:eastAsia="宋体"/>
                <w:b w:val="0"/>
                <w:sz w:val="21"/>
              </w:rPr>
              <w:t>2025.04-2025.09（6 个月）</w:t>
            </w:r>
          </w:p>
        </w:tc>
        <w:tc>
          <w:tcPr>
            <w:tcW w:type="dxa" w:w="3402"/>
            <w:vAlign w:val="center"/>
          </w:tcPr>
          <w:p>
            <w:pPr>
              <w:spacing w:line="300" w:lineRule="auto"/>
              <w:jc w:val="center"/>
            </w:pPr>
            <w:r/>
            <w:r>
              <w:rPr>
                <w:rFonts w:ascii="宋体" w:hAnsi="宋体" w:eastAsia="宋体"/>
                <w:b w:val="0"/>
                <w:sz w:val="21"/>
              </w:rPr>
              <w:t>①针对关键科学问题和技术需求，完成项目总体研究方案设计；2国内外研究现状进一步调研，搜集整理相关技术资料；3研究大语言模型和多模态融合技术；4调研 YOLO 系列神经网络算法；5对部分研究成果进行论文发表</w:t>
            </w:r>
          </w:p>
        </w:tc>
        <w:tc>
          <w:tcPr>
            <w:tcW w:type="dxa" w:w="1701"/>
            <w:vAlign w:val="center"/>
          </w:tcPr>
          <w:p>
            <w:pPr>
              <w:spacing w:line="300" w:lineRule="auto"/>
              <w:jc w:val="center"/>
            </w:pPr>
            <w:r/>
            <w:r>
              <w:rPr>
                <w:rFonts w:ascii="宋体" w:hAnsi="宋体" w:eastAsia="宋体"/>
                <w:b w:val="0"/>
                <w:sz w:val="21"/>
              </w:rPr>
              <w:t>调研报告 1 份、研究方案 1 份、文献综述 1 篇</w:t>
            </w:r>
          </w:p>
        </w:tc>
      </w:tr>
      <w:tr>
        <w:tc>
          <w:tcPr>
            <w:tcW w:type="dxa" w:w="1984"/>
            <w:vAlign w:val="center"/>
          </w:tcPr>
          <w:p>
            <w:pPr>
              <w:spacing w:line="300" w:lineRule="auto"/>
              <w:jc w:val="center"/>
            </w:pPr>
            <w:r/>
            <w:r>
              <w:rPr>
                <w:rFonts w:ascii="宋体" w:hAnsi="宋体" w:eastAsia="宋体"/>
                <w:b w:val="0"/>
                <w:sz w:val="21"/>
              </w:rPr>
              <w:t>第二阶段：模型与算法开发</w:t>
            </w:r>
          </w:p>
        </w:tc>
        <w:tc>
          <w:tcPr>
            <w:tcW w:type="dxa" w:w="1984"/>
            <w:vAlign w:val="center"/>
          </w:tcPr>
          <w:p>
            <w:pPr>
              <w:spacing w:line="300" w:lineRule="auto"/>
              <w:jc w:val="center"/>
            </w:pPr>
            <w:r/>
            <w:r>
              <w:rPr>
                <w:rFonts w:ascii="宋体" w:hAnsi="宋体" w:eastAsia="宋体"/>
                <w:b w:val="0"/>
                <w:sz w:val="21"/>
              </w:rPr>
              <w:t>2025.10-2026.06（9 个月）</w:t>
            </w:r>
          </w:p>
        </w:tc>
        <w:tc>
          <w:tcPr>
            <w:tcW w:type="dxa" w:w="3402"/>
            <w:vAlign w:val="center"/>
          </w:tcPr>
          <w:p>
            <w:pPr>
              <w:spacing w:line="300" w:lineRule="auto"/>
              <w:jc w:val="center"/>
            </w:pPr>
            <w:r/>
            <w:r>
              <w:rPr>
                <w:rFonts w:ascii="宋体" w:hAnsi="宋体" w:eastAsia="宋体"/>
                <w:b w:val="0"/>
                <w:sz w:val="21"/>
              </w:rPr>
              <w:t>①搭建多模态融合网络结构模型；2对卷积神经网络的主干网络、特征融合网络进行研究与改进；3完成 YOLO-LRP 改进算法实现与训练；4研究协同感知并行可扩展性模型；5完成多模态融合算法验证</w:t>
            </w:r>
          </w:p>
        </w:tc>
        <w:tc>
          <w:tcPr>
            <w:tcW w:type="dxa" w:w="1701"/>
            <w:vAlign w:val="center"/>
          </w:tcPr>
          <w:p>
            <w:pPr>
              <w:spacing w:line="300" w:lineRule="auto"/>
              <w:jc w:val="center"/>
            </w:pPr>
            <w:r/>
            <w:r>
              <w:rPr>
                <w:rFonts w:ascii="宋体" w:hAnsi="宋体" w:eastAsia="宋体"/>
                <w:b w:val="0"/>
                <w:sz w:val="21"/>
              </w:rPr>
              <w:t>多模态融合模型 1 套、YOLO-LRP 算法 1 套、模型权重 1 套、SCI 论文 1 篇</w:t>
            </w:r>
          </w:p>
        </w:tc>
      </w:tr>
      <w:tr>
        <w:tc>
          <w:tcPr>
            <w:tcW w:type="dxa" w:w="1984"/>
            <w:vAlign w:val="center"/>
          </w:tcPr>
          <w:p>
            <w:pPr>
              <w:spacing w:line="300" w:lineRule="auto"/>
              <w:jc w:val="center"/>
            </w:pPr>
            <w:r/>
            <w:r>
              <w:rPr>
                <w:rFonts w:ascii="宋体" w:hAnsi="宋体" w:eastAsia="宋体"/>
                <w:b w:val="0"/>
                <w:sz w:val="21"/>
              </w:rPr>
              <w:t>第三阶段：系统集成与火场验证</w:t>
            </w:r>
          </w:p>
        </w:tc>
        <w:tc>
          <w:tcPr>
            <w:tcW w:type="dxa" w:w="1984"/>
            <w:vAlign w:val="center"/>
          </w:tcPr>
          <w:p>
            <w:pPr>
              <w:spacing w:line="300" w:lineRule="auto"/>
              <w:jc w:val="center"/>
            </w:pPr>
            <w:r/>
            <w:r>
              <w:rPr>
                <w:rFonts w:ascii="宋体" w:hAnsi="宋体" w:eastAsia="宋体"/>
                <w:b w:val="0"/>
                <w:sz w:val="21"/>
              </w:rPr>
              <w:t>2026.07-2027.01（7 个月）</w:t>
            </w:r>
          </w:p>
        </w:tc>
        <w:tc>
          <w:tcPr>
            <w:tcW w:type="dxa" w:w="3402"/>
            <w:vAlign w:val="center"/>
          </w:tcPr>
          <w:p>
            <w:pPr>
              <w:spacing w:line="300" w:lineRule="auto"/>
              <w:jc w:val="center"/>
            </w:pPr>
            <w:r/>
            <w:r>
              <w:rPr>
                <w:rFonts w:ascii="宋体" w:hAnsi="宋体" w:eastAsia="宋体"/>
                <w:b w:val="0"/>
                <w:sz w:val="21"/>
              </w:rPr>
              <w:t>①搭建无人机目标跟踪的地面控制平台；2完成整个跟踪系统的代码编写及调试；3在 GPU 并行系统进行完善训练；4与合作消防中队开展火场场景测试；5收集真实场景数据评估泛化能力</w:t>
            </w:r>
          </w:p>
        </w:tc>
        <w:tc>
          <w:tcPr>
            <w:tcW w:type="dxa" w:w="1701"/>
            <w:vAlign w:val="center"/>
          </w:tcPr>
          <w:p>
            <w:pPr>
              <w:spacing w:line="300" w:lineRule="auto"/>
              <w:jc w:val="center"/>
            </w:pPr>
            <w:r/>
            <w:r>
              <w:rPr>
                <w:rFonts w:ascii="宋体" w:hAnsi="宋体" w:eastAsia="宋体"/>
                <w:b w:val="0"/>
                <w:sz w:val="21"/>
              </w:rPr>
              <w:t>原型系统 1 套、测试报告 1 份、发明专利申请 1 项、中文核心论文 1 篇</w:t>
            </w:r>
          </w:p>
        </w:tc>
      </w:tr>
      <w:tr>
        <w:tc>
          <w:tcPr>
            <w:tcW w:type="dxa" w:w="1984"/>
            <w:vAlign w:val="center"/>
          </w:tcPr>
          <w:p>
            <w:pPr>
              <w:spacing w:line="300" w:lineRule="auto"/>
              <w:jc w:val="center"/>
            </w:pPr>
            <w:r/>
            <w:r>
              <w:rPr>
                <w:rFonts w:ascii="宋体" w:hAnsi="宋体" w:eastAsia="宋体"/>
                <w:b w:val="0"/>
                <w:sz w:val="21"/>
              </w:rPr>
              <w:t>第四阶段：总结与结题</w:t>
            </w:r>
          </w:p>
        </w:tc>
        <w:tc>
          <w:tcPr>
            <w:tcW w:type="dxa" w:w="1984"/>
            <w:vAlign w:val="center"/>
          </w:tcPr>
          <w:p>
            <w:pPr>
              <w:spacing w:line="300" w:lineRule="auto"/>
              <w:jc w:val="center"/>
            </w:pPr>
            <w:r/>
            <w:r>
              <w:rPr>
                <w:rFonts w:ascii="宋体" w:hAnsi="宋体" w:eastAsia="宋体"/>
                <w:b w:val="0"/>
                <w:sz w:val="21"/>
              </w:rPr>
              <w:t>2027.02-2027.03（2 个月）</w:t>
            </w:r>
          </w:p>
        </w:tc>
        <w:tc>
          <w:tcPr>
            <w:tcW w:type="dxa" w:w="3402"/>
            <w:vAlign w:val="center"/>
          </w:tcPr>
          <w:p>
            <w:pPr>
              <w:spacing w:line="300" w:lineRule="auto"/>
              <w:jc w:val="center"/>
            </w:pPr>
            <w:r/>
            <w:r>
              <w:rPr>
                <w:rFonts w:ascii="宋体" w:hAnsi="宋体" w:eastAsia="宋体"/>
                <w:b w:val="0"/>
                <w:sz w:val="21"/>
              </w:rPr>
              <w:t>①整理实验数据，撰写结题报告；2论文返修与发表；3软件著作权申请；4项目总结与成果展示；5培养学生毕业答辩</w:t>
            </w:r>
          </w:p>
        </w:tc>
        <w:tc>
          <w:tcPr>
            <w:tcW w:type="dxa" w:w="1701"/>
            <w:vAlign w:val="center"/>
          </w:tcPr>
          <w:p>
            <w:pPr>
              <w:spacing w:line="300" w:lineRule="auto"/>
              <w:jc w:val="center"/>
            </w:pPr>
            <w:r/>
            <w:r>
              <w:rPr>
                <w:rFonts w:ascii="宋体" w:hAnsi="宋体" w:eastAsia="宋体"/>
                <w:b w:val="0"/>
                <w:sz w:val="21"/>
              </w:rPr>
              <w:t>结题报告 1 份、软件著作权 1 项、毕业论文 4 篇</w:t>
            </w:r>
          </w:p>
        </w:tc>
      </w:tr>
    </w:tbl>
    <w:p/>
    <w:p>
      <w:pPr>
        <w:spacing w:line="360" w:lineRule="auto" w:before="240" w:after="240"/>
        <w:jc w:val="center"/>
      </w:pPr>
      <w:r>
        <w:rPr>
          <w:rFonts w:ascii="黑体" w:hAnsi="黑体" w:eastAsia="黑体"/>
          <w:b/>
          <w:sz w:val="32"/>
        </w:rPr>
        <w:t>九、预期成果</w:t>
      </w:r>
    </w:p>
    <w:p>
      <w:pPr>
        <w:spacing w:line="360" w:lineRule="auto" w:before="0" w:after="0"/>
        <w:jc w:val="left"/>
      </w:pPr>
      <w:r>
        <w:rPr>
          <w:rFonts w:ascii="宋体" w:hAnsi="宋体" w:eastAsia="宋体"/>
          <w:b w:val="0"/>
          <w:sz w:val="24"/>
        </w:rPr>
        <w:t>• SCI 二区期刊论文 1 篇（拟投 IEEE Transactions on Geoscience and Remote Sensing）</w:t>
      </w:r>
    </w:p>
    <w:p>
      <w:pPr>
        <w:spacing w:line="360" w:lineRule="auto" w:before="0" w:after="0"/>
        <w:jc w:val="left"/>
      </w:pPr>
      <w:r>
        <w:rPr>
          <w:rFonts w:ascii="宋体" w:hAnsi="宋体" w:eastAsia="宋体"/>
          <w:b w:val="0"/>
          <w:sz w:val="24"/>
        </w:rPr>
        <w:t>• 中文核心期刊论文 2 篇（拟投《计算机辅助设计与图形学学报》《计算机应用》）</w:t>
      </w:r>
    </w:p>
    <w:p>
      <w:pPr>
        <w:spacing w:line="360" w:lineRule="auto" w:before="0" w:after="0"/>
        <w:jc w:val="left"/>
      </w:pPr>
      <w:r>
        <w:rPr>
          <w:rFonts w:ascii="宋体" w:hAnsi="宋体" w:eastAsia="宋体"/>
          <w:b w:val="0"/>
          <w:sz w:val="24"/>
        </w:rPr>
        <w:t>• 发明专利申请 2 项（与合作企业共同申请）</w:t>
      </w:r>
    </w:p>
    <w:p>
      <w:pPr>
        <w:spacing w:line="360" w:lineRule="auto" w:before="0" w:after="0"/>
        <w:jc w:val="left"/>
      </w:pPr>
      <w:r>
        <w:rPr>
          <w:rFonts w:ascii="宋体" w:hAnsi="宋体" w:eastAsia="宋体"/>
          <w:b w:val="0"/>
          <w:sz w:val="24"/>
        </w:rPr>
        <w:t>• 原型系统 1 套（部署在 XX 消防中队试运行 3 个月）</w:t>
      </w:r>
    </w:p>
    <w:p>
      <w:pPr>
        <w:spacing w:line="360" w:lineRule="auto" w:before="0" w:after="0"/>
        <w:jc w:val="left"/>
      </w:pPr>
      <w:r>
        <w:rPr>
          <w:rFonts w:ascii="宋体" w:hAnsi="宋体" w:eastAsia="宋体"/>
          <w:b w:val="0"/>
          <w:sz w:val="24"/>
        </w:rPr>
        <w:t>• 火场样本数据集 1 套（5000+ 样本，8 类目标）</w:t>
      </w:r>
    </w:p>
    <w:p>
      <w:pPr>
        <w:spacing w:line="360" w:lineRule="auto" w:before="0" w:after="0"/>
        <w:jc w:val="left"/>
      </w:pPr>
      <w:r>
        <w:rPr>
          <w:rFonts w:ascii="宋体" w:hAnsi="宋体" w:eastAsia="宋体"/>
          <w:b w:val="0"/>
          <w:sz w:val="24"/>
        </w:rPr>
        <w:t>• 软件著作权 1 项（《多模态融合无人机消防目标检测系统 V1.0》）</w:t>
      </w:r>
    </w:p>
    <w:p>
      <w:pPr>
        <w:spacing w:line="360" w:lineRule="auto" w:before="240" w:after="240"/>
        <w:jc w:val="center"/>
      </w:pPr>
      <w:r>
        <w:rPr>
          <w:rFonts w:ascii="黑体" w:hAnsi="黑体" w:eastAsia="黑体"/>
          <w:b/>
          <w:sz w:val="32"/>
        </w:rPr>
        <w:t>十、经费预算</w:t>
      </w:r>
    </w:p>
    <w:tbl>
      <w:tblPr>
        <w:tblStyle w:val="TableGrid"/>
        <w:tblW w:type="auto" w:w="0"/>
        <w:jc w:val="center"/>
        <w:tblLook w:firstColumn="1" w:firstRow="1" w:lastColumn="0" w:lastRow="0" w:noHBand="0" w:noVBand="1" w:val="04A0"/>
      </w:tblPr>
      <w:tblGrid>
        <w:gridCol w:w="3024"/>
        <w:gridCol w:w="3024"/>
        <w:gridCol w:w="3024"/>
      </w:tblGrid>
      <w:tr>
        <w:tc>
          <w:tcPr>
            <w:tcW w:type="dxa" w:w="1984"/>
            <w:vAlign w:val="center"/>
          </w:tcPr>
          <w:p>
            <w:pPr>
              <w:spacing w:line="300" w:lineRule="auto"/>
              <w:jc w:val="center"/>
            </w:pPr>
            <w:r/>
            <w:r>
              <w:rPr>
                <w:rFonts w:ascii="宋体" w:hAnsi="宋体" w:eastAsia="宋体"/>
                <w:b/>
                <w:sz w:val="21"/>
              </w:rPr>
              <w:t>预算科目</w:t>
            </w:r>
          </w:p>
        </w:tc>
        <w:tc>
          <w:tcPr>
            <w:tcW w:type="dxa" w:w="1701"/>
            <w:vAlign w:val="center"/>
          </w:tcPr>
          <w:p>
            <w:pPr>
              <w:spacing w:line="300" w:lineRule="auto"/>
              <w:jc w:val="center"/>
            </w:pPr>
            <w:r/>
            <w:r>
              <w:rPr>
                <w:rFonts w:ascii="宋体" w:hAnsi="宋体" w:eastAsia="宋体"/>
                <w:b/>
                <w:sz w:val="21"/>
              </w:rPr>
              <w:t>金额</w:t>
            </w:r>
          </w:p>
        </w:tc>
        <w:tc>
          <w:tcPr>
            <w:tcW w:type="dxa" w:w="5386"/>
            <w:vAlign w:val="center"/>
          </w:tcPr>
          <w:p>
            <w:pPr>
              <w:spacing w:line="300" w:lineRule="auto"/>
              <w:jc w:val="center"/>
            </w:pPr>
            <w:r/>
            <w:r>
              <w:rPr>
                <w:rFonts w:ascii="宋体" w:hAnsi="宋体" w:eastAsia="宋体"/>
                <w:b/>
                <w:sz w:val="21"/>
              </w:rPr>
              <w:t>计算依据</w:t>
            </w:r>
          </w:p>
        </w:tc>
      </w:tr>
      <w:tr>
        <w:tc>
          <w:tcPr>
            <w:tcW w:type="dxa" w:w="1984"/>
            <w:vAlign w:val="center"/>
          </w:tcPr>
          <w:p>
            <w:pPr>
              <w:spacing w:line="300" w:lineRule="auto"/>
              <w:jc w:val="center"/>
            </w:pPr>
            <w:r/>
            <w:r>
              <w:rPr>
                <w:rFonts w:ascii="宋体" w:hAnsi="宋体" w:eastAsia="宋体"/>
                <w:b w:val="0"/>
                <w:sz w:val="21"/>
              </w:rPr>
              <w:t>资料费</w:t>
            </w:r>
          </w:p>
        </w:tc>
        <w:tc>
          <w:tcPr>
            <w:tcW w:type="dxa" w:w="1701"/>
            <w:vAlign w:val="center"/>
          </w:tcPr>
          <w:p>
            <w:pPr>
              <w:spacing w:line="300" w:lineRule="auto"/>
              <w:jc w:val="center"/>
            </w:pPr>
            <w:r/>
            <w:r>
              <w:rPr>
                <w:rFonts w:ascii="宋体" w:hAnsi="宋体" w:eastAsia="宋体"/>
                <w:b w:val="0"/>
                <w:sz w:val="21"/>
              </w:rPr>
              <w:t>1280 元</w:t>
            </w:r>
          </w:p>
        </w:tc>
        <w:tc>
          <w:tcPr>
            <w:tcW w:type="dxa" w:w="5386"/>
            <w:vAlign w:val="center"/>
          </w:tcPr>
          <w:p>
            <w:pPr>
              <w:spacing w:line="300" w:lineRule="auto"/>
              <w:jc w:val="center"/>
            </w:pPr>
            <w:r/>
            <w:r>
              <w:rPr>
                <w:rFonts w:ascii="宋体" w:hAnsi="宋体" w:eastAsia="宋体"/>
                <w:b w:val="0"/>
                <w:sz w:val="21"/>
              </w:rPr>
              <w:t>图书 20 本 × 50 元 + 数据库订阅 280 元</w:t>
            </w:r>
          </w:p>
        </w:tc>
      </w:tr>
      <w:tr>
        <w:tc>
          <w:tcPr>
            <w:tcW w:type="dxa" w:w="1984"/>
            <w:vAlign w:val="center"/>
          </w:tcPr>
          <w:p>
            <w:pPr>
              <w:spacing w:line="300" w:lineRule="auto"/>
              <w:jc w:val="center"/>
            </w:pPr>
            <w:r/>
            <w:r>
              <w:rPr>
                <w:rFonts w:ascii="宋体" w:hAnsi="宋体" w:eastAsia="宋体"/>
                <w:b w:val="0"/>
                <w:sz w:val="21"/>
              </w:rPr>
              <w:t>调研差旅费</w:t>
            </w:r>
          </w:p>
        </w:tc>
        <w:tc>
          <w:tcPr>
            <w:tcW w:type="dxa" w:w="1701"/>
            <w:vAlign w:val="center"/>
          </w:tcPr>
          <w:p>
            <w:pPr>
              <w:spacing w:line="300" w:lineRule="auto"/>
              <w:jc w:val="center"/>
            </w:pPr>
            <w:r/>
            <w:r>
              <w:rPr>
                <w:rFonts w:ascii="宋体" w:hAnsi="宋体" w:eastAsia="宋体"/>
                <w:b w:val="0"/>
                <w:sz w:val="21"/>
              </w:rPr>
              <w:t>4500 元</w:t>
            </w:r>
          </w:p>
        </w:tc>
        <w:tc>
          <w:tcPr>
            <w:tcW w:type="dxa" w:w="5386"/>
            <w:vAlign w:val="center"/>
          </w:tcPr>
          <w:p>
            <w:pPr>
              <w:spacing w:line="300" w:lineRule="auto"/>
              <w:jc w:val="center"/>
            </w:pPr>
            <w:r/>
            <w:r>
              <w:rPr>
                <w:rFonts w:ascii="宋体" w:hAnsi="宋体" w:eastAsia="宋体"/>
                <w:b w:val="0"/>
                <w:sz w:val="21"/>
              </w:rPr>
              <w:t>3 次实地调研 × 1500 元（含交通、住宿）</w:t>
            </w:r>
          </w:p>
        </w:tc>
      </w:tr>
      <w:tr>
        <w:tc>
          <w:tcPr>
            <w:tcW w:type="dxa" w:w="1984"/>
            <w:vAlign w:val="center"/>
          </w:tcPr>
          <w:p>
            <w:pPr>
              <w:spacing w:line="300" w:lineRule="auto"/>
              <w:jc w:val="center"/>
            </w:pPr>
            <w:r/>
            <w:r>
              <w:rPr>
                <w:rFonts w:ascii="宋体" w:hAnsi="宋体" w:eastAsia="宋体"/>
                <w:b w:val="0"/>
                <w:sz w:val="21"/>
              </w:rPr>
              <w:t>实验材料费</w:t>
            </w:r>
          </w:p>
        </w:tc>
        <w:tc>
          <w:tcPr>
            <w:tcW w:type="dxa" w:w="1701"/>
            <w:vAlign w:val="center"/>
          </w:tcPr>
          <w:p>
            <w:pPr>
              <w:spacing w:line="300" w:lineRule="auto"/>
              <w:jc w:val="center"/>
            </w:pPr>
            <w:r/>
            <w:r>
              <w:rPr>
                <w:rFonts w:ascii="宋体" w:hAnsi="宋体" w:eastAsia="宋体"/>
                <w:b w:val="0"/>
                <w:sz w:val="21"/>
              </w:rPr>
              <w:t>9320 元</w:t>
            </w:r>
          </w:p>
        </w:tc>
        <w:tc>
          <w:tcPr>
            <w:tcW w:type="dxa" w:w="5386"/>
            <w:vAlign w:val="center"/>
          </w:tcPr>
          <w:p>
            <w:pPr>
              <w:spacing w:line="300" w:lineRule="auto"/>
              <w:jc w:val="center"/>
            </w:pPr>
            <w:r/>
            <w:r>
              <w:rPr>
                <w:rFonts w:ascii="宋体" w:hAnsi="宋体" w:eastAsia="宋体"/>
                <w:b w:val="0"/>
                <w:sz w:val="21"/>
              </w:rPr>
              <w:t>GPU 服务器租赁 1200 元/月 × 7 月 + 红外相机耗材 320 元 + 3D 打印耗材 600 元</w:t>
            </w:r>
          </w:p>
        </w:tc>
      </w:tr>
      <w:tr>
        <w:tc>
          <w:tcPr>
            <w:tcW w:type="dxa" w:w="1984"/>
            <w:vAlign w:val="center"/>
          </w:tcPr>
          <w:p>
            <w:pPr>
              <w:spacing w:line="300" w:lineRule="auto"/>
              <w:jc w:val="center"/>
            </w:pPr>
            <w:r/>
            <w:r>
              <w:rPr>
                <w:rFonts w:ascii="宋体" w:hAnsi="宋体" w:eastAsia="宋体"/>
                <w:b w:val="0"/>
                <w:sz w:val="21"/>
              </w:rPr>
              <w:t>会议费</w:t>
            </w:r>
          </w:p>
        </w:tc>
        <w:tc>
          <w:tcPr>
            <w:tcW w:type="dxa" w:w="1701"/>
            <w:vAlign w:val="center"/>
          </w:tcPr>
          <w:p>
            <w:pPr>
              <w:spacing w:line="300" w:lineRule="auto"/>
              <w:jc w:val="center"/>
            </w:pPr>
            <w:r/>
            <w:r>
              <w:rPr>
                <w:rFonts w:ascii="宋体" w:hAnsi="宋体" w:eastAsia="宋体"/>
                <w:b w:val="0"/>
                <w:sz w:val="21"/>
              </w:rPr>
              <w:t>2400 元</w:t>
            </w:r>
          </w:p>
        </w:tc>
        <w:tc>
          <w:tcPr>
            <w:tcW w:type="dxa" w:w="5386"/>
            <w:vAlign w:val="center"/>
          </w:tcPr>
          <w:p>
            <w:pPr>
              <w:spacing w:line="300" w:lineRule="auto"/>
              <w:jc w:val="center"/>
            </w:pPr>
            <w:r/>
            <w:r>
              <w:rPr>
                <w:rFonts w:ascii="宋体" w:hAnsi="宋体" w:eastAsia="宋体"/>
                <w:b w:val="0"/>
                <w:sz w:val="21"/>
              </w:rPr>
              <w:t>参加 ICASSP 国际会议 1 次 + 全国无人机大会 1 次</w:t>
            </w:r>
          </w:p>
        </w:tc>
      </w:tr>
      <w:tr>
        <w:tc>
          <w:tcPr>
            <w:tcW w:type="dxa" w:w="1984"/>
            <w:vAlign w:val="center"/>
          </w:tcPr>
          <w:p>
            <w:pPr>
              <w:spacing w:line="300" w:lineRule="auto"/>
              <w:jc w:val="center"/>
            </w:pPr>
            <w:r/>
            <w:r>
              <w:rPr>
                <w:rFonts w:ascii="宋体" w:hAnsi="宋体" w:eastAsia="宋体"/>
                <w:b w:val="0"/>
                <w:sz w:val="21"/>
              </w:rPr>
              <w:t>印刷复印</w:t>
            </w:r>
          </w:p>
        </w:tc>
        <w:tc>
          <w:tcPr>
            <w:tcW w:type="dxa" w:w="1701"/>
            <w:vAlign w:val="center"/>
          </w:tcPr>
          <w:p>
            <w:pPr>
              <w:spacing w:line="300" w:lineRule="auto"/>
              <w:jc w:val="center"/>
            </w:pPr>
            <w:r/>
            <w:r>
              <w:rPr>
                <w:rFonts w:ascii="宋体" w:hAnsi="宋体" w:eastAsia="宋体"/>
                <w:b w:val="0"/>
                <w:sz w:val="21"/>
              </w:rPr>
              <w:t>500 元</w:t>
            </w:r>
          </w:p>
        </w:tc>
        <w:tc>
          <w:tcPr>
            <w:tcW w:type="dxa" w:w="5386"/>
            <w:vAlign w:val="center"/>
          </w:tcPr>
          <w:p>
            <w:pPr>
              <w:spacing w:line="300" w:lineRule="auto"/>
              <w:jc w:val="center"/>
            </w:pPr>
            <w:r/>
            <w:r>
              <w:rPr>
                <w:rFonts w:ascii="宋体" w:hAnsi="宋体" w:eastAsia="宋体"/>
                <w:b w:val="0"/>
                <w:sz w:val="21"/>
              </w:rPr>
              <w:t>论文版面费 300 元 + 报告印刷 200 元</w:t>
            </w:r>
          </w:p>
        </w:tc>
      </w:tr>
      <w:tr>
        <w:tc>
          <w:tcPr>
            <w:tcW w:type="dxa" w:w="1984"/>
            <w:vAlign w:val="center"/>
          </w:tcPr>
          <w:p>
            <w:pPr>
              <w:spacing w:line="300" w:lineRule="auto"/>
              <w:jc w:val="center"/>
            </w:pPr>
            <w:r/>
            <w:r>
              <w:rPr>
                <w:rFonts w:ascii="宋体" w:hAnsi="宋体" w:eastAsia="宋体"/>
                <w:b w:val="0"/>
                <w:sz w:val="21"/>
              </w:rPr>
              <w:t>合计</w:t>
            </w:r>
          </w:p>
        </w:tc>
        <w:tc>
          <w:tcPr>
            <w:tcW w:type="dxa" w:w="1701"/>
            <w:vAlign w:val="center"/>
          </w:tcPr>
          <w:p>
            <w:pPr>
              <w:spacing w:line="300" w:lineRule="auto"/>
              <w:jc w:val="center"/>
            </w:pPr>
            <w:r/>
            <w:r>
              <w:rPr>
                <w:rFonts w:ascii="宋体" w:hAnsi="宋体" w:eastAsia="宋体"/>
                <w:b w:val="0"/>
                <w:sz w:val="21"/>
              </w:rPr>
              <w:t>18000 元</w:t>
            </w:r>
          </w:p>
        </w:tc>
        <w:tc>
          <w:tcPr>
            <w:tcW w:type="dxa" w:w="5386"/>
            <w:vAlign w:val="center"/>
          </w:tcPr>
          <w:p>
            <w:pPr>
              <w:spacing w:line="300" w:lineRule="auto"/>
              <w:jc w:val="center"/>
            </w:pPr>
            <w:r/>
            <w:r>
              <w:rPr>
                <w:rFonts w:ascii="宋体" w:hAnsi="宋体" w:eastAsia="宋体"/>
                <w:b w:val="0"/>
                <w:sz w:val="21"/>
              </w:rPr>
            </w:r>
          </w:p>
        </w:tc>
      </w:tr>
    </w:tbl>
    <w:p/>
    <w:p>
      <w:pPr>
        <w:spacing w:line="360" w:lineRule="auto" w:before="240" w:after="240"/>
        <w:jc w:val="center"/>
      </w:pPr>
      <w:r>
        <w:rPr>
          <w:rFonts w:ascii="黑体" w:hAnsi="黑体" w:eastAsia="黑体"/>
          <w:b/>
          <w:sz w:val="32"/>
        </w:rPr>
        <w:t>十一、前期工作基础</w:t>
      </w:r>
    </w:p>
    <w:p>
      <w:pPr>
        <w:spacing w:line="360" w:lineRule="auto" w:before="120" w:after="120"/>
        <w:jc w:val="left"/>
      </w:pPr>
      <w:r>
        <w:rPr>
          <w:rFonts w:ascii="黑体" w:hAnsi="黑体" w:eastAsia="黑体"/>
          <w:b/>
          <w:sz w:val="30"/>
        </w:rPr>
        <w:t>（一）团队基础</w:t>
      </w:r>
    </w:p>
    <w:p>
      <w:pPr>
        <w:spacing w:line="360" w:lineRule="auto" w:before="0" w:after="0"/>
        <w:ind w:firstLine="480"/>
        <w:jc w:val="left"/>
      </w:pPr>
      <w:r>
        <w:rPr>
          <w:rFonts w:ascii="宋体" w:hAnsi="宋体" w:eastAsia="宋体"/>
          <w:b w:val="0"/>
          <w:sz w:val="24"/>
        </w:rPr>
        <w:t>团队 4 名成员已修读《机器学习》《数字图像处理》《自动控制原理》《计算机视觉》等核心课程，3 人有校级大创参与经验。负责人张三掌握 Python/PyTorch/CUDA，曾参与校级『无人机目标检测』项目并获优秀。</w:t>
      </w:r>
    </w:p>
    <w:p>
      <w:pPr>
        <w:spacing w:line="360" w:lineRule="auto" w:before="120" w:after="120"/>
        <w:jc w:val="left"/>
      </w:pPr>
      <w:r>
        <w:rPr>
          <w:rFonts w:ascii="黑体" w:hAnsi="黑体" w:eastAsia="黑体"/>
          <w:b/>
          <w:sz w:val="30"/>
        </w:rPr>
        <w:t>（二）指导教师基础</w:t>
      </w:r>
    </w:p>
    <w:p>
      <w:pPr>
        <w:spacing w:line="360" w:lineRule="auto" w:before="0" w:after="0"/>
        <w:ind w:firstLine="480"/>
        <w:jc w:val="left"/>
      </w:pPr>
      <w:r>
        <w:rPr>
          <w:rFonts w:ascii="宋体" w:hAnsi="宋体" w:eastAsia="宋体"/>
          <w:b w:val="0"/>
          <w:sz w:val="24"/>
        </w:rPr>
        <w:t>指导教师李教授主持国家自然科学基金 1 项（62373011），近 3 年发表 SCI 论文 8 篇（含 IEEE TGRS 2 篇、Neurocomputing 3 篇），研究方向为多模态融合与无人机智能感知，与本项目高度契合。</w:t>
      </w:r>
    </w:p>
    <w:p>
      <w:pPr>
        <w:spacing w:line="360" w:lineRule="auto" w:before="120" w:after="120"/>
        <w:jc w:val="left"/>
      </w:pPr>
      <w:r>
        <w:rPr>
          <w:rFonts w:ascii="黑体" w:hAnsi="黑体" w:eastAsia="黑体"/>
          <w:b/>
          <w:sz w:val="30"/>
        </w:rPr>
        <w:t>（三）实验条件</w:t>
      </w:r>
    </w:p>
    <w:p>
      <w:pPr>
        <w:spacing w:line="360" w:lineRule="auto" w:before="0" w:after="0"/>
        <w:ind w:firstLine="480"/>
        <w:jc w:val="left"/>
      </w:pPr>
      <w:r>
        <w:rPr>
          <w:rFonts w:ascii="宋体" w:hAnsi="宋体" w:eastAsia="宋体"/>
          <w:b w:val="0"/>
          <w:sz w:val="24"/>
        </w:rPr>
        <w:t>自动化工程学院智能感知实验室配备 GPU 服务器（RTX 4090 ×4）、红外热成像仪 FLIR T630、激光雷达 Velodyne VLP-16、大疆经纬 M300 RTK 无人机、3D 打印机，可满足本项目研发与测试需求。</w:t>
      </w:r>
    </w:p>
    <w:p>
      <w:pPr>
        <w:spacing w:line="360" w:lineRule="auto" w:before="240" w:after="240"/>
        <w:jc w:val="center"/>
      </w:pPr>
      <w:r>
        <w:rPr>
          <w:rFonts w:ascii="黑体" w:hAnsi="黑体" w:eastAsia="黑体"/>
          <w:b/>
          <w:sz w:val="32"/>
        </w:rPr>
        <w:t>十二、指导教师意见</w:t>
      </w:r>
    </w:p>
    <w:p/>
    <w:p/>
    <w:p/>
    <w:p/>
    <w:p/>
    <w:p/>
    <w:p>
      <w:pPr>
        <w:spacing w:line="360" w:lineRule="auto" w:before="0" w:after="0"/>
        <w:jc w:val="left"/>
      </w:pPr>
      <w:r>
        <w:rPr>
          <w:rFonts w:ascii="宋体" w:hAnsi="宋体" w:eastAsia="宋体"/>
          <w:b w:val="0"/>
          <w:sz w:val="24"/>
        </w:rPr>
        <w:t>指导教师签字：____________________    日期：______年____月____日</w:t>
      </w:r>
    </w:p>
    <w:p>
      <w:pPr>
        <w:spacing w:line="360" w:lineRule="auto" w:before="240" w:after="240"/>
        <w:jc w:val="center"/>
      </w:pPr>
      <w:r>
        <w:rPr>
          <w:rFonts w:ascii="黑体" w:hAnsi="黑体" w:eastAsia="黑体"/>
          <w:b/>
          <w:sz w:val="32"/>
        </w:rPr>
        <w:t>十三、学院评审意见</w:t>
      </w:r>
    </w:p>
    <w:p/>
    <w:p/>
    <w:p/>
    <w:p/>
    <w:p/>
    <w:p/>
    <w:p>
      <w:pPr>
        <w:spacing w:line="360" w:lineRule="auto" w:before="0" w:after="0"/>
        <w:jc w:val="left"/>
      </w:pPr>
      <w:r>
        <w:rPr>
          <w:rFonts w:ascii="宋体" w:hAnsi="宋体" w:eastAsia="宋体"/>
          <w:b w:val="0"/>
          <w:sz w:val="24"/>
        </w:rPr>
        <w:t>学院盖章：____________________    日期：______年____月____日</w:t>
      </w:r>
    </w:p>
    <w:sectPr w:rsidR="00FC693F" w:rsidRPr="0006063C" w:rsidSect="00034616">
      <w:footerReference w:type="default" r:id="rId9"/>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